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09C9" w:rsidRPr="008752E7" w:rsidRDefault="001D09C9" w:rsidP="001D09C9">
      <w:pPr>
        <w:rPr>
          <w:u w:val="single"/>
          <w:lang w:val="en-US"/>
        </w:rPr>
      </w:pPr>
      <w:bookmarkStart w:id="0" w:name="_Toc299639153"/>
      <w:bookmarkStart w:id="1" w:name="_Toc369853959"/>
      <w:bookmarkStart w:id="2" w:name="_Toc378080650"/>
    </w:p>
    <w:p w:rsidR="00A14B37" w:rsidRDefault="00A14B37">
      <w:pPr>
        <w:spacing w:before="0"/>
        <w:jc w:val="left"/>
        <w:rPr>
          <w:lang w:val="en-US"/>
        </w:rPr>
      </w:pPr>
    </w:p>
    <w:p w:rsidR="00DD24DA" w:rsidRPr="00250D23" w:rsidRDefault="00DD24DA">
      <w:pPr>
        <w:spacing w:before="0"/>
        <w:jc w:val="left"/>
        <w:rPr>
          <w:lang w:val="en-US"/>
        </w:rPr>
        <w:sectPr w:rsidR="00DD24DA" w:rsidRPr="00250D23" w:rsidSect="004D28F5">
          <w:headerReference w:type="even" r:id="rId9"/>
          <w:headerReference w:type="default" r:id="rId10"/>
          <w:footerReference w:type="even" r:id="rId11"/>
          <w:footerReference w:type="default" r:id="rId12"/>
          <w:headerReference w:type="first" r:id="rId13"/>
          <w:footerReference w:type="first" r:id="rId14"/>
          <w:endnotePr>
            <w:numFmt w:val="decimal"/>
          </w:endnotePr>
          <w:type w:val="oddPage"/>
          <w:pgSz w:w="11909" w:h="16834" w:code="9"/>
          <w:pgMar w:top="1418" w:right="1418" w:bottom="1418" w:left="1418" w:header="720" w:footer="612" w:gutter="0"/>
          <w:cols w:space="720"/>
          <w:titlePg/>
        </w:sectPr>
      </w:pPr>
    </w:p>
    <w:p w:rsidR="002933A3" w:rsidRPr="002933A3" w:rsidRDefault="002933A3" w:rsidP="002933A3">
      <w:pPr>
        <w:pStyle w:val="Heading1"/>
        <w:rPr>
          <w:rFonts w:eastAsia="SimSun"/>
          <w:szCs w:val="19"/>
        </w:rPr>
      </w:pPr>
      <w:bookmarkStart w:id="3" w:name="_Toc380408283"/>
      <w:bookmarkStart w:id="4" w:name="_Toc356483658"/>
      <w:bookmarkEnd w:id="0"/>
      <w:bookmarkEnd w:id="1"/>
      <w:bookmarkEnd w:id="2"/>
      <w:r w:rsidRPr="002933A3">
        <w:rPr>
          <w:szCs w:val="19"/>
        </w:rPr>
        <w:lastRenderedPageBreak/>
        <w:t>Annex 1:</w:t>
      </w:r>
      <w:r w:rsidRPr="002933A3">
        <w:tab/>
      </w:r>
      <w:r w:rsidRPr="002933A3">
        <w:rPr>
          <w:rFonts w:eastAsia="SimSun"/>
          <w:szCs w:val="21"/>
        </w:rPr>
        <w:t>OCDE</w:t>
      </w:r>
      <w:r w:rsidRPr="002933A3">
        <w:rPr>
          <w:rFonts w:eastAsia="SimSun"/>
          <w:szCs w:val="19"/>
        </w:rPr>
        <w:t xml:space="preserve"> Appendix DSTI.ICCP/TISP 12 (2000) Final: Auctions Theory</w:t>
      </w:r>
      <w:bookmarkEnd w:id="3"/>
    </w:p>
    <w:p w:rsidR="002933A3" w:rsidRPr="002933A3" w:rsidRDefault="002933A3" w:rsidP="005F357A">
      <w:pPr>
        <w:pStyle w:val="Heading2"/>
        <w:rPr>
          <w:rFonts w:eastAsia="SimSun"/>
          <w:sz w:val="21"/>
          <w:szCs w:val="21"/>
        </w:rPr>
      </w:pPr>
      <w:r w:rsidRPr="002933A3">
        <w:t>Co</w:t>
      </w:r>
      <w:bookmarkStart w:id="5" w:name="_GoBack"/>
      <w:bookmarkEnd w:id="5"/>
      <w:r w:rsidRPr="002933A3">
        <w:t xml:space="preserve">ncepts and </w:t>
      </w:r>
      <w:r w:rsidRPr="005F357A">
        <w:rPr>
          <w:rFonts w:eastAsia="SimSun"/>
        </w:rPr>
        <w:t>definitions</w:t>
      </w:r>
    </w:p>
    <w:p w:rsidR="002933A3" w:rsidRPr="002933A3" w:rsidRDefault="002933A3" w:rsidP="00AC1B05">
      <w:pPr>
        <w:pStyle w:val="Heading3"/>
        <w:rPr>
          <w:rFonts w:eastAsia="SimSun"/>
        </w:rPr>
      </w:pPr>
      <w:r w:rsidRPr="002933A3">
        <w:rPr>
          <w:rFonts w:eastAsia="SimSun"/>
        </w:rPr>
        <w:t>Private, affiliated and common values</w:t>
      </w:r>
    </w:p>
    <w:p w:rsidR="002933A3" w:rsidRPr="00250D23" w:rsidRDefault="002933A3" w:rsidP="002933A3">
      <w:pPr>
        <w:rPr>
          <w:lang w:val="en-US"/>
        </w:rPr>
      </w:pPr>
      <w:r w:rsidRPr="00250D23">
        <w:rPr>
          <w:lang w:val="en-US"/>
        </w:rPr>
        <w:t>A priori, the value of an object to a buyer can depend on:</w:t>
      </w:r>
    </w:p>
    <w:p w:rsidR="002933A3" w:rsidRPr="002933A3" w:rsidRDefault="002933A3" w:rsidP="002933A3">
      <w:pPr>
        <w:pStyle w:val="Enumlevel1"/>
      </w:pPr>
      <w:r>
        <w:t>–</w:t>
      </w:r>
      <w:r>
        <w:tab/>
      </w:r>
      <w:r w:rsidRPr="002933A3">
        <w:t>The information that the buyer possesses about the object. The word “information” has to be understood very broadly, as it can also refer to the buyer’s personal tastes, or characteristics.</w:t>
      </w:r>
    </w:p>
    <w:p w:rsidR="002933A3" w:rsidRPr="002933A3" w:rsidRDefault="002933A3" w:rsidP="002933A3">
      <w:pPr>
        <w:pStyle w:val="Enumlevel1"/>
      </w:pPr>
      <w:r>
        <w:t>–</w:t>
      </w:r>
      <w:r>
        <w:tab/>
      </w:r>
      <w:r w:rsidRPr="002933A3">
        <w:t>The information other buyers possess about that object. (The same applies for the word “information”.)</w:t>
      </w:r>
    </w:p>
    <w:p w:rsidR="002933A3" w:rsidRPr="00250D23" w:rsidRDefault="002933A3" w:rsidP="002933A3">
      <w:pPr>
        <w:rPr>
          <w:szCs w:val="21"/>
          <w:lang w:val="en-US"/>
        </w:rPr>
      </w:pPr>
      <w:r w:rsidRPr="00250D23">
        <w:rPr>
          <w:szCs w:val="21"/>
          <w:lang w:val="en-US"/>
        </w:rPr>
        <w:t>Additional variables that can affect the values of the object for each and everyone in the same way.</w:t>
      </w:r>
    </w:p>
    <w:p w:rsidR="002933A3" w:rsidRPr="002933A3" w:rsidRDefault="002933A3" w:rsidP="002933A3">
      <w:pPr>
        <w:pStyle w:val="Enumlevel1"/>
        <w:rPr>
          <w:lang w:val="en-US"/>
        </w:rPr>
      </w:pPr>
      <w:r>
        <w:rPr>
          <w:lang w:val="en-US"/>
        </w:rPr>
        <w:t>–</w:t>
      </w:r>
      <w:r>
        <w:rPr>
          <w:lang w:val="en-US"/>
        </w:rPr>
        <w:tab/>
      </w:r>
      <w:r w:rsidRPr="002933A3">
        <w:rPr>
          <w:rFonts w:cs="Times New Roman"/>
          <w:lang w:val="en-US"/>
        </w:rPr>
        <w:t>In</w:t>
      </w:r>
      <w:r w:rsidRPr="002933A3">
        <w:rPr>
          <w:lang w:val="en-US"/>
        </w:rPr>
        <w:t xml:space="preserve"> the case </w:t>
      </w:r>
      <w:r w:rsidRPr="002933A3">
        <w:t>of</w:t>
      </w:r>
      <w:r w:rsidRPr="002933A3">
        <w:rPr>
          <w:lang w:val="en-US"/>
        </w:rPr>
        <w:t xml:space="preserve"> licenses, the following are examples for each category:</w:t>
      </w:r>
    </w:p>
    <w:p w:rsidR="002933A3" w:rsidRPr="002933A3" w:rsidRDefault="002933A3" w:rsidP="002933A3">
      <w:pPr>
        <w:pStyle w:val="Enumlevel1"/>
        <w:rPr>
          <w:lang w:val="en-US"/>
        </w:rPr>
      </w:pPr>
      <w:r>
        <w:rPr>
          <w:lang w:val="en-US"/>
        </w:rPr>
        <w:t>–</w:t>
      </w:r>
      <w:r>
        <w:rPr>
          <w:lang w:val="en-US"/>
        </w:rPr>
        <w:tab/>
      </w:r>
      <w:r w:rsidRPr="002933A3">
        <w:rPr>
          <w:lang w:val="en-US"/>
        </w:rPr>
        <w:t xml:space="preserve">The </w:t>
      </w:r>
      <w:r w:rsidRPr="002933A3">
        <w:t>operator’s</w:t>
      </w:r>
      <w:r w:rsidRPr="002933A3">
        <w:rPr>
          <w:lang w:val="en-US"/>
        </w:rPr>
        <w:t xml:space="preserve"> own cost and budget.</w:t>
      </w:r>
    </w:p>
    <w:p w:rsidR="002933A3" w:rsidRPr="002933A3" w:rsidRDefault="002933A3" w:rsidP="002933A3">
      <w:pPr>
        <w:pStyle w:val="Enumlevel1"/>
        <w:rPr>
          <w:lang w:val="en-US"/>
        </w:rPr>
      </w:pPr>
      <w:r>
        <w:rPr>
          <w:lang w:val="en-US"/>
        </w:rPr>
        <w:t>–</w:t>
      </w:r>
      <w:r>
        <w:rPr>
          <w:lang w:val="en-US"/>
        </w:rPr>
        <w:tab/>
      </w:r>
      <w:r w:rsidRPr="002933A3">
        <w:rPr>
          <w:lang w:val="en-US"/>
        </w:rPr>
        <w:t xml:space="preserve">Other </w:t>
      </w:r>
      <w:r w:rsidRPr="002933A3">
        <w:t>operators’</w:t>
      </w:r>
      <w:r w:rsidRPr="002933A3">
        <w:rPr>
          <w:lang w:val="en-US"/>
        </w:rPr>
        <w:t xml:space="preserve"> costs and budgets.</w:t>
      </w:r>
    </w:p>
    <w:p w:rsidR="002933A3" w:rsidRPr="002933A3" w:rsidRDefault="002933A3" w:rsidP="002933A3">
      <w:pPr>
        <w:pStyle w:val="Enumlevel1"/>
        <w:rPr>
          <w:lang w:val="en-US"/>
        </w:rPr>
      </w:pPr>
      <w:r>
        <w:rPr>
          <w:lang w:val="en-US"/>
        </w:rPr>
        <w:t>–</w:t>
      </w:r>
      <w:r>
        <w:rPr>
          <w:lang w:val="en-US"/>
        </w:rPr>
        <w:tab/>
      </w:r>
      <w:r w:rsidRPr="002933A3">
        <w:t>Consumers’</w:t>
      </w:r>
      <w:r w:rsidRPr="002933A3">
        <w:rPr>
          <w:lang w:val="en-US"/>
        </w:rPr>
        <w:t xml:space="preserve"> interest in using mobile telephones.</w:t>
      </w:r>
    </w:p>
    <w:p w:rsidR="002933A3" w:rsidRPr="002933A3" w:rsidRDefault="002933A3" w:rsidP="002933A3">
      <w:pPr>
        <w:pStyle w:val="Enumlevel1"/>
        <w:rPr>
          <w:rFonts w:cs="Times New Roman"/>
          <w:bCs/>
          <w:lang w:val="en-US"/>
        </w:rPr>
      </w:pPr>
      <w:r>
        <w:rPr>
          <w:lang w:val="en-US"/>
        </w:rPr>
        <w:t>–</w:t>
      </w:r>
      <w:r>
        <w:rPr>
          <w:lang w:val="en-US"/>
        </w:rPr>
        <w:tab/>
      </w:r>
      <w:r w:rsidRPr="002933A3">
        <w:t>Pe</w:t>
      </w:r>
      <w:r w:rsidRPr="002933A3">
        <w:rPr>
          <w:rFonts w:cs="Times New Roman"/>
        </w:rPr>
        <w:t>rf</w:t>
      </w:r>
      <w:r w:rsidRPr="002933A3">
        <w:t>o</w:t>
      </w:r>
      <w:r w:rsidRPr="002933A3">
        <w:rPr>
          <w:rFonts w:cs="Times New Roman"/>
        </w:rPr>
        <w:t>rmance</w:t>
      </w:r>
      <w:r w:rsidRPr="002933A3">
        <w:rPr>
          <w:rFonts w:cs="Times New Roman"/>
          <w:lang w:val="en-US"/>
        </w:rPr>
        <w:t xml:space="preserve"> of the stock market.</w:t>
      </w:r>
    </w:p>
    <w:p w:rsidR="002933A3" w:rsidRPr="00250D23" w:rsidRDefault="002933A3" w:rsidP="002933A3">
      <w:pPr>
        <w:rPr>
          <w:szCs w:val="21"/>
          <w:lang w:val="en-US"/>
        </w:rPr>
      </w:pPr>
      <w:r w:rsidRPr="00250D23">
        <w:rPr>
          <w:szCs w:val="21"/>
          <w:lang w:val="en-US"/>
        </w:rPr>
        <w:t xml:space="preserve">Therefore, if we let </w:t>
      </w:r>
      <w:r w:rsidRPr="00250D23">
        <w:rPr>
          <w:rFonts w:ascii="Times New Roman" w:hAnsi="Times New Roman"/>
          <w:i/>
          <w:iCs/>
          <w:szCs w:val="21"/>
          <w:lang w:val="en-US"/>
        </w:rPr>
        <w:t>VA</w:t>
      </w:r>
      <w:r w:rsidRPr="00250D23">
        <w:rPr>
          <w:szCs w:val="21"/>
          <w:lang w:val="en-US"/>
        </w:rPr>
        <w:t xml:space="preserve"> denote the value of an object to buyer A, we have:</w:t>
      </w:r>
    </w:p>
    <w:p w:rsidR="002933A3" w:rsidRPr="00250D23" w:rsidRDefault="002933A3" w:rsidP="002933A3">
      <w:pPr>
        <w:autoSpaceDE w:val="0"/>
        <w:autoSpaceDN w:val="0"/>
        <w:adjustRightInd w:val="0"/>
        <w:jc w:val="center"/>
        <w:rPr>
          <w:rFonts w:ascii="Times New Roman" w:hAnsi="Times New Roman"/>
          <w:bCs/>
          <w:szCs w:val="21"/>
          <w:lang w:val="en-US"/>
        </w:rPr>
      </w:pPr>
      <w:r w:rsidRPr="00250D23">
        <w:rPr>
          <w:rFonts w:ascii="Times New Roman" w:hAnsi="Times New Roman"/>
          <w:i/>
          <w:iCs/>
          <w:szCs w:val="21"/>
          <w:lang w:val="en-US"/>
        </w:rPr>
        <w:t xml:space="preserve">VA </w:t>
      </w:r>
      <w:r w:rsidRPr="002933A3">
        <w:rPr>
          <w:rFonts w:ascii="Symbol" w:hAnsi="Symbol" w:cs="Symbol"/>
          <w:szCs w:val="21"/>
        </w:rPr>
        <w:t></w:t>
      </w:r>
      <w:r w:rsidRPr="00250D23">
        <w:rPr>
          <w:rFonts w:ascii="Times New Roman" w:hAnsi="Times New Roman"/>
          <w:i/>
          <w:iCs/>
          <w:szCs w:val="21"/>
          <w:lang w:val="en-US"/>
        </w:rPr>
        <w:t xml:space="preserve">V </w:t>
      </w:r>
      <w:r w:rsidRPr="00250D23">
        <w:rPr>
          <w:rFonts w:ascii="Times New Roman" w:hAnsi="Times New Roman"/>
          <w:szCs w:val="21"/>
          <w:lang w:val="en-US"/>
        </w:rPr>
        <w:t>(</w:t>
      </w:r>
      <w:r w:rsidRPr="00250D23">
        <w:rPr>
          <w:rFonts w:ascii="Times New Roman" w:hAnsi="Times New Roman"/>
          <w:i/>
          <w:iCs/>
          <w:szCs w:val="21"/>
          <w:lang w:val="en-US"/>
        </w:rPr>
        <w:t>IA</w:t>
      </w:r>
      <w:r w:rsidRPr="00250D23">
        <w:rPr>
          <w:rFonts w:ascii="Times New Roman" w:hAnsi="Times New Roman"/>
          <w:szCs w:val="21"/>
          <w:lang w:val="en-US"/>
        </w:rPr>
        <w:t xml:space="preserve">, </w:t>
      </w:r>
      <w:r w:rsidRPr="00250D23">
        <w:rPr>
          <w:rFonts w:ascii="Times New Roman" w:hAnsi="Times New Roman"/>
          <w:i/>
          <w:iCs/>
          <w:szCs w:val="21"/>
          <w:lang w:val="en-US"/>
        </w:rPr>
        <w:t xml:space="preserve">IB </w:t>
      </w:r>
      <w:r w:rsidRPr="00250D23">
        <w:rPr>
          <w:rFonts w:ascii="Times New Roman" w:hAnsi="Times New Roman"/>
          <w:szCs w:val="21"/>
          <w:lang w:val="en-US"/>
        </w:rPr>
        <w:t xml:space="preserve">/ </w:t>
      </w:r>
      <w:r w:rsidRPr="00250D23">
        <w:rPr>
          <w:rFonts w:ascii="Times New Roman" w:hAnsi="Times New Roman"/>
          <w:i/>
          <w:iCs/>
          <w:szCs w:val="21"/>
          <w:lang w:val="en-US"/>
        </w:rPr>
        <w:t>A</w:t>
      </w:r>
      <w:r w:rsidRPr="00250D23">
        <w:rPr>
          <w:rFonts w:ascii="Times New Roman" w:hAnsi="Times New Roman"/>
          <w:szCs w:val="21"/>
          <w:lang w:val="en-US"/>
        </w:rPr>
        <w:t xml:space="preserve">, </w:t>
      </w:r>
      <w:r w:rsidRPr="00250D23">
        <w:rPr>
          <w:rFonts w:ascii="Times New Roman" w:hAnsi="Times New Roman"/>
          <w:i/>
          <w:iCs/>
          <w:szCs w:val="21"/>
          <w:lang w:val="en-US"/>
        </w:rPr>
        <w:t>X</w:t>
      </w:r>
      <w:r w:rsidRPr="00250D23">
        <w:rPr>
          <w:rFonts w:ascii="Times New Roman" w:hAnsi="Times New Roman"/>
          <w:szCs w:val="21"/>
          <w:lang w:val="en-US"/>
        </w:rPr>
        <w:t>)</w:t>
      </w:r>
    </w:p>
    <w:p w:rsidR="002933A3" w:rsidRPr="00250D23" w:rsidRDefault="002933A3" w:rsidP="002933A3">
      <w:pPr>
        <w:rPr>
          <w:szCs w:val="21"/>
          <w:lang w:val="en-US"/>
        </w:rPr>
      </w:pPr>
      <w:r w:rsidRPr="00250D23">
        <w:rPr>
          <w:szCs w:val="21"/>
          <w:lang w:val="en-US"/>
        </w:rPr>
        <w:t xml:space="preserve">where, </w:t>
      </w:r>
      <w:r w:rsidRPr="00250D23">
        <w:rPr>
          <w:i/>
          <w:iCs/>
          <w:szCs w:val="21"/>
          <w:lang w:val="en-US"/>
        </w:rPr>
        <w:t>IA</w:t>
      </w:r>
      <w:r w:rsidRPr="00250D23">
        <w:rPr>
          <w:szCs w:val="21"/>
          <w:lang w:val="en-US"/>
        </w:rPr>
        <w:t xml:space="preserve"> denotes the information to buyer </w:t>
      </w:r>
      <w:r w:rsidRPr="00250D23">
        <w:rPr>
          <w:i/>
          <w:iCs/>
          <w:szCs w:val="21"/>
          <w:lang w:val="en-US"/>
        </w:rPr>
        <w:t>A, IB/A</w:t>
      </w:r>
      <w:r w:rsidRPr="00250D23">
        <w:rPr>
          <w:szCs w:val="21"/>
          <w:lang w:val="en-US"/>
        </w:rPr>
        <w:t xml:space="preserve"> denotes the information to any other buyer except A ,and X refers to any other variable that can affect the object’s value.</w:t>
      </w:r>
    </w:p>
    <w:p w:rsidR="002933A3" w:rsidRPr="00250D23" w:rsidRDefault="002933A3" w:rsidP="002933A3">
      <w:pPr>
        <w:rPr>
          <w:szCs w:val="21"/>
          <w:lang w:val="en-US"/>
        </w:rPr>
      </w:pPr>
      <w:r w:rsidRPr="00250D23">
        <w:rPr>
          <w:szCs w:val="21"/>
          <w:lang w:val="en-US"/>
        </w:rPr>
        <w:t xml:space="preserve">Bidders have private values when </w:t>
      </w:r>
      <w:r w:rsidRPr="00250D23">
        <w:rPr>
          <w:i/>
          <w:iCs/>
          <w:szCs w:val="21"/>
          <w:lang w:val="en-US"/>
        </w:rPr>
        <w:t>VA = IA</w:t>
      </w:r>
      <w:r w:rsidRPr="00250D23">
        <w:rPr>
          <w:szCs w:val="21"/>
          <w:lang w:val="en-US"/>
        </w:rPr>
        <w:t>. Consider for instance an auction of paintings. Consider moreover that none of the buyers is interested in resale markets. Then all that matters to any buyer is how much he likes the painting. This would be a case of private values. In such cases, the bidders know exactly what the object is worth to them;</w:t>
      </w:r>
    </w:p>
    <w:p w:rsidR="002933A3" w:rsidRPr="00250D23" w:rsidRDefault="002933A3" w:rsidP="002933A3">
      <w:pPr>
        <w:rPr>
          <w:szCs w:val="21"/>
          <w:lang w:val="en-US"/>
        </w:rPr>
      </w:pPr>
      <w:r w:rsidRPr="00250D23">
        <w:rPr>
          <w:szCs w:val="21"/>
          <w:lang w:val="en-US"/>
        </w:rPr>
        <w:t xml:space="preserve">Bidders have common value when </w:t>
      </w:r>
      <w:r w:rsidRPr="00250D23">
        <w:rPr>
          <w:i/>
          <w:iCs/>
          <w:szCs w:val="21"/>
          <w:lang w:val="en-US"/>
        </w:rPr>
        <w:t>VA= X</w:t>
      </w:r>
      <w:r w:rsidRPr="00250D23">
        <w:rPr>
          <w:szCs w:val="21"/>
          <w:lang w:val="en-US"/>
        </w:rPr>
        <w:t>. The best example of common value is an auction for treasury bonds. The value of a Treasury bond never depends on the identity of the owner, and would be the same whoever holds it. In such cases, bidders do not know the value of the object. They form their bids using what we call “signals”.</w:t>
      </w:r>
    </w:p>
    <w:p w:rsidR="002933A3" w:rsidRPr="00250D23" w:rsidRDefault="002933A3" w:rsidP="002933A3">
      <w:pPr>
        <w:rPr>
          <w:szCs w:val="21"/>
          <w:lang w:val="en-US"/>
        </w:rPr>
      </w:pPr>
      <w:r w:rsidRPr="00250D23">
        <w:rPr>
          <w:szCs w:val="21"/>
          <w:lang w:val="en-US"/>
        </w:rPr>
        <w:t xml:space="preserve">Any situation where </w:t>
      </w:r>
      <w:r w:rsidRPr="00250D23">
        <w:rPr>
          <w:rFonts w:ascii="Times New Roman" w:hAnsi="Times New Roman"/>
          <w:i/>
          <w:iCs/>
          <w:szCs w:val="21"/>
          <w:lang w:val="en-US"/>
        </w:rPr>
        <w:t>VA</w:t>
      </w:r>
      <w:r w:rsidRPr="00250D23">
        <w:rPr>
          <w:szCs w:val="21"/>
          <w:lang w:val="en-US"/>
        </w:rPr>
        <w:t xml:space="preserve"> is of the form indicated above, is neither a private nor a common value case.</w:t>
      </w:r>
    </w:p>
    <w:p w:rsidR="002933A3" w:rsidRPr="00250D23" w:rsidRDefault="002933A3" w:rsidP="002933A3">
      <w:pPr>
        <w:rPr>
          <w:szCs w:val="21"/>
          <w:lang w:val="en-US"/>
        </w:rPr>
      </w:pPr>
      <w:r w:rsidRPr="00250D23">
        <w:rPr>
          <w:szCs w:val="21"/>
          <w:lang w:val="en-US"/>
        </w:rPr>
        <w:t>Finally, bidders’ values are affiliated when (very broadly) observing a large value for a buyer makes it more likely that other buyers also have large values.</w:t>
      </w:r>
    </w:p>
    <w:p w:rsidR="002933A3" w:rsidRPr="00250D23" w:rsidRDefault="002933A3" w:rsidP="002933A3">
      <w:pPr>
        <w:rPr>
          <w:szCs w:val="21"/>
          <w:lang w:val="en-US"/>
        </w:rPr>
      </w:pPr>
      <w:r w:rsidRPr="00250D23">
        <w:rPr>
          <w:szCs w:val="21"/>
          <w:lang w:val="en-US"/>
        </w:rPr>
        <w:t>Bidders for licenses have values that are neither private nor common. Furthermore, their values are likely to be affiliated as they rely heavily on future market conditions, which would affect them in the same way.</w:t>
      </w:r>
    </w:p>
    <w:p w:rsidR="002933A3" w:rsidRPr="002933A3" w:rsidRDefault="002933A3" w:rsidP="00AC1B05">
      <w:pPr>
        <w:pStyle w:val="Heading3"/>
        <w:rPr>
          <w:rFonts w:eastAsia="SimSun"/>
        </w:rPr>
      </w:pPr>
      <w:r w:rsidRPr="002933A3">
        <w:rPr>
          <w:rFonts w:eastAsia="SimSun"/>
        </w:rPr>
        <w:t xml:space="preserve">Risk </w:t>
      </w:r>
      <w:r w:rsidRPr="00AC1B05">
        <w:rPr>
          <w:rFonts w:eastAsia="SimSun"/>
        </w:rPr>
        <w:t>aversion</w:t>
      </w:r>
      <w:r w:rsidRPr="002933A3">
        <w:rPr>
          <w:rFonts w:eastAsia="SimSun"/>
        </w:rPr>
        <w:t>-risk neutrality</w:t>
      </w:r>
    </w:p>
    <w:p w:rsidR="002933A3" w:rsidRPr="00250D23" w:rsidRDefault="002933A3" w:rsidP="002933A3">
      <w:pPr>
        <w:rPr>
          <w:szCs w:val="21"/>
          <w:lang w:val="en-US"/>
        </w:rPr>
      </w:pPr>
      <w:r w:rsidRPr="00250D23">
        <w:rPr>
          <w:szCs w:val="21"/>
          <w:lang w:val="en-US"/>
        </w:rPr>
        <w:t>Bidders are risk averse when the expectation of a gamble has more value to them than the gamble itself. For instance, the value they assign to a bond with a fixed return of 10% is higher than the value they would assign to a bond that generates a return of 0% with probability ½ and 20% with probability ½.</w:t>
      </w:r>
    </w:p>
    <w:p w:rsidR="00041568" w:rsidRPr="00250D23" w:rsidRDefault="00041568">
      <w:pPr>
        <w:spacing w:before="0"/>
        <w:jc w:val="left"/>
        <w:rPr>
          <w:szCs w:val="21"/>
          <w:lang w:val="en-US"/>
        </w:rPr>
      </w:pPr>
      <w:r w:rsidRPr="00250D23">
        <w:rPr>
          <w:szCs w:val="21"/>
          <w:lang w:val="en-US"/>
        </w:rPr>
        <w:br w:type="page"/>
      </w:r>
    </w:p>
    <w:p w:rsidR="002933A3" w:rsidRPr="00250D23" w:rsidRDefault="002933A3" w:rsidP="002933A3">
      <w:pPr>
        <w:rPr>
          <w:szCs w:val="21"/>
          <w:lang w:val="en-US"/>
        </w:rPr>
      </w:pPr>
      <w:r w:rsidRPr="00250D23">
        <w:rPr>
          <w:szCs w:val="21"/>
          <w:lang w:val="en-US"/>
        </w:rPr>
        <w:lastRenderedPageBreak/>
        <w:t>A bidder is risk neutral if he values equally the gamble and its expectation.</w:t>
      </w:r>
    </w:p>
    <w:p w:rsidR="002933A3" w:rsidRPr="00250D23" w:rsidRDefault="002933A3" w:rsidP="002933A3">
      <w:pPr>
        <w:rPr>
          <w:i/>
          <w:szCs w:val="21"/>
          <w:lang w:val="en-US"/>
        </w:rPr>
      </w:pPr>
      <w:r w:rsidRPr="00250D23">
        <w:rPr>
          <w:i/>
          <w:szCs w:val="21"/>
          <w:lang w:val="en-US"/>
        </w:rPr>
        <w:t>Standard auctions</w:t>
      </w:r>
    </w:p>
    <w:p w:rsidR="002933A3" w:rsidRPr="00250D23" w:rsidRDefault="002933A3" w:rsidP="002933A3">
      <w:pPr>
        <w:rPr>
          <w:szCs w:val="21"/>
          <w:lang w:val="en-US"/>
        </w:rPr>
      </w:pPr>
      <w:r w:rsidRPr="00250D23">
        <w:rPr>
          <w:i/>
          <w:szCs w:val="21"/>
          <w:lang w:val="en-US"/>
        </w:rPr>
        <w:t>Open auctions</w:t>
      </w:r>
      <w:r w:rsidRPr="00250D23">
        <w:rPr>
          <w:szCs w:val="21"/>
          <w:lang w:val="en-US"/>
        </w:rPr>
        <w:t>: The English auction: Bidders announce their bids openly in an ascending order. The auction stops when no one proposes a higher bid than the last announced. The winner is the last person to announce a price; he pays the price that he announced.</w:t>
      </w:r>
    </w:p>
    <w:p w:rsidR="002933A3" w:rsidRPr="00250D23" w:rsidRDefault="002933A3" w:rsidP="002933A3">
      <w:pPr>
        <w:rPr>
          <w:szCs w:val="21"/>
          <w:lang w:val="en-US"/>
        </w:rPr>
      </w:pPr>
      <w:r w:rsidRPr="00250D23">
        <w:rPr>
          <w:i/>
          <w:szCs w:val="21"/>
          <w:lang w:val="en-US"/>
        </w:rPr>
        <w:t>Japanese version of the English auction</w:t>
      </w:r>
      <w:r w:rsidRPr="00250D23">
        <w:rPr>
          <w:szCs w:val="21"/>
          <w:lang w:val="en-US"/>
        </w:rPr>
        <w:t>: The price raises slowly while bidders only signal if they are still in or whether they want to drop out. The auction stops when there is only one bidder remaining. He pays the price at which his last competitor dropped out.</w:t>
      </w:r>
    </w:p>
    <w:p w:rsidR="002933A3" w:rsidRPr="00250D23" w:rsidRDefault="002933A3" w:rsidP="002933A3">
      <w:pPr>
        <w:rPr>
          <w:szCs w:val="21"/>
          <w:lang w:val="en-US"/>
        </w:rPr>
      </w:pPr>
      <w:r w:rsidRPr="00250D23">
        <w:rPr>
          <w:i/>
          <w:szCs w:val="21"/>
          <w:lang w:val="en-US"/>
        </w:rPr>
        <w:t>Dutch auction</w:t>
      </w:r>
      <w:r w:rsidRPr="00250D23">
        <w:rPr>
          <w:szCs w:val="21"/>
          <w:lang w:val="en-US"/>
        </w:rPr>
        <w:t>: The auctioneer announces prices in a descending order. The auction stops when one bidder accepts to buy at the price announced. The winner pays the price at which he stopped the auctioneer.</w:t>
      </w:r>
    </w:p>
    <w:p w:rsidR="002933A3" w:rsidRPr="00250D23" w:rsidRDefault="002933A3" w:rsidP="002933A3">
      <w:pPr>
        <w:keepNext/>
        <w:rPr>
          <w:szCs w:val="21"/>
          <w:lang w:val="en-US"/>
        </w:rPr>
      </w:pPr>
      <w:r w:rsidRPr="00250D23">
        <w:rPr>
          <w:i/>
          <w:szCs w:val="21"/>
          <w:lang w:val="en-US"/>
        </w:rPr>
        <w:t>Sealed bid auctions</w:t>
      </w:r>
      <w:r w:rsidRPr="00250D23">
        <w:rPr>
          <w:szCs w:val="21"/>
          <w:lang w:val="en-US"/>
        </w:rPr>
        <w:t>:</w:t>
      </w:r>
    </w:p>
    <w:p w:rsidR="002933A3" w:rsidRPr="00250D23" w:rsidRDefault="002933A3" w:rsidP="002933A3">
      <w:pPr>
        <w:rPr>
          <w:szCs w:val="21"/>
          <w:lang w:val="en-US"/>
        </w:rPr>
      </w:pPr>
      <w:r w:rsidRPr="00250D23">
        <w:rPr>
          <w:szCs w:val="21"/>
          <w:lang w:val="en-US"/>
        </w:rPr>
        <w:t>First-price sealed bid: Each bidder submits a bid in an envelope. The auctioneer examines all offers. The object goes to the highest bidder and he pays the amount he suggested. In Greece this method was used for the 2G licensing in 1992. However the second highest bidder, if this bid came within 10% of the highest bid, could match the highest bid and win the second license. Otherwise there would be a second round of bidding by the participants.</w:t>
      </w:r>
    </w:p>
    <w:p w:rsidR="002933A3" w:rsidRPr="00250D23" w:rsidRDefault="002933A3" w:rsidP="002933A3">
      <w:pPr>
        <w:rPr>
          <w:szCs w:val="21"/>
          <w:lang w:val="en-US"/>
        </w:rPr>
      </w:pPr>
      <w:r w:rsidRPr="00250D23">
        <w:rPr>
          <w:szCs w:val="21"/>
          <w:lang w:val="en-US"/>
        </w:rPr>
        <w:t>Second-price sealed bid: Each bidder submits a bid in an envelope. The auctioneer examines all offers. The object goes to the highest bidder and he pays the second highest offer. New Zealand, in 1990, used this method to auction three cellular licences. One of the winners bid NZD 101 million, but only paid NZD 11 million.</w:t>
      </w:r>
    </w:p>
    <w:p w:rsidR="002933A3" w:rsidRPr="00250D23" w:rsidRDefault="002933A3" w:rsidP="00AC1B05">
      <w:pPr>
        <w:pStyle w:val="Heading3"/>
      </w:pPr>
      <w:bookmarkStart w:id="6" w:name="38"/>
      <w:bookmarkEnd w:id="6"/>
      <w:r w:rsidRPr="00250D23">
        <w:t>Main results on the allocation of a single object</w:t>
      </w:r>
    </w:p>
    <w:p w:rsidR="002933A3" w:rsidRPr="00250D23" w:rsidRDefault="002933A3" w:rsidP="002933A3">
      <w:pPr>
        <w:rPr>
          <w:szCs w:val="21"/>
          <w:lang w:val="en-US"/>
        </w:rPr>
      </w:pPr>
      <w:r w:rsidRPr="00250D23">
        <w:rPr>
          <w:szCs w:val="21"/>
          <w:lang w:val="en-US"/>
        </w:rPr>
        <w:t>The literature on mechanism design has mainly focused on two objectives: revenue maximization and efficiency. This is mainly due to the fact that objectives other than profit maximization and efficient allocations are difficult to model.</w:t>
      </w:r>
    </w:p>
    <w:p w:rsidR="002933A3" w:rsidRPr="00250D23" w:rsidRDefault="002933A3" w:rsidP="002933A3">
      <w:pPr>
        <w:rPr>
          <w:i/>
          <w:szCs w:val="21"/>
          <w:lang w:val="en-US"/>
        </w:rPr>
      </w:pPr>
      <w:r w:rsidRPr="00250D23">
        <w:rPr>
          <w:i/>
          <w:szCs w:val="21"/>
          <w:lang w:val="en-US"/>
        </w:rPr>
        <w:t>Achieving efficiency</w:t>
      </w:r>
    </w:p>
    <w:p w:rsidR="002933A3" w:rsidRPr="00250D23" w:rsidRDefault="002933A3" w:rsidP="002933A3">
      <w:pPr>
        <w:rPr>
          <w:szCs w:val="21"/>
          <w:lang w:val="en-US"/>
        </w:rPr>
      </w:pPr>
      <w:r w:rsidRPr="00250D23">
        <w:rPr>
          <w:szCs w:val="21"/>
          <w:lang w:val="en-US"/>
        </w:rPr>
        <w:t>The second-price sealed bid auction (Vickrey auction) achieves efficiency, in the sense that the object goes to the buyer with the highest valuation. In a Vickrey auction, the best thing a buyer can do is to bid his valuation truthfully. This is true independently of what the other buyers are doing. Suppose that buyer i has valuation vi. He does not know what the other buyers will offer but he knows there are two cases: (a) someone offers more than vi, or (b) all the other buyers offer less that vi . In case (a), buyer i should not bid more than vi because he only risks getting the object at a price above his valuation. In case (b), buyer I pays the second-highest bid and, therefore, he has no reason to go below vi because this will not reduce the amount he pays but can jeopardize his chance of getting the object. As each buyer bids his valuation truthfully, the object goes to the buyer with the highest valuation and efficiency is achieved.</w:t>
      </w:r>
    </w:p>
    <w:p w:rsidR="002933A3" w:rsidRPr="00250D23" w:rsidRDefault="002933A3" w:rsidP="002933A3">
      <w:pPr>
        <w:rPr>
          <w:szCs w:val="21"/>
          <w:lang w:val="en-US"/>
        </w:rPr>
      </w:pPr>
      <w:r w:rsidRPr="00250D23">
        <w:rPr>
          <w:szCs w:val="21"/>
          <w:lang w:val="en-US"/>
        </w:rPr>
        <w:t>The principle behind the Vickrey auction is that the winner should compensate society for the “damage” that he does by getting the object, since this precludes the next-best alternative use of the same object. This is an extremely general principle that underlies all of auction theory.</w:t>
      </w:r>
    </w:p>
    <w:p w:rsidR="002933A3" w:rsidRPr="00250D23" w:rsidRDefault="002933A3" w:rsidP="002933A3">
      <w:pPr>
        <w:rPr>
          <w:szCs w:val="21"/>
          <w:lang w:val="en-US"/>
        </w:rPr>
      </w:pPr>
      <w:r w:rsidRPr="00250D23">
        <w:rPr>
          <w:szCs w:val="21"/>
          <w:lang w:val="en-US"/>
        </w:rPr>
        <w:t>The seller may have intrinsic preferences over who gets the object. For instance, the seller may prefer to give the object to a new entrant or to a national firm. Efficiency then needs to be redefined by taking these factors into account. The Vickrey auction as defined above does not guarantee efficiency anymore.</w:t>
      </w:r>
    </w:p>
    <w:p w:rsidR="002933A3" w:rsidRPr="00250D23" w:rsidRDefault="002933A3" w:rsidP="002933A3">
      <w:pPr>
        <w:rPr>
          <w:szCs w:val="21"/>
          <w:lang w:val="en-US"/>
        </w:rPr>
      </w:pPr>
      <w:r w:rsidRPr="00250D23">
        <w:rPr>
          <w:szCs w:val="21"/>
          <w:lang w:val="en-US"/>
        </w:rPr>
        <w:t xml:space="preserve">The other main goal, besides efficiency, that the seller may have is </w:t>
      </w:r>
      <w:r w:rsidRPr="00250D23">
        <w:rPr>
          <w:i/>
          <w:szCs w:val="21"/>
          <w:lang w:val="en-US"/>
        </w:rPr>
        <w:t>revenue maximization</w:t>
      </w:r>
      <w:r w:rsidRPr="00250D23">
        <w:rPr>
          <w:szCs w:val="21"/>
          <w:lang w:val="en-US"/>
        </w:rPr>
        <w:t xml:space="preserve">. A fundamental result in auction theory is the </w:t>
      </w:r>
      <w:r w:rsidRPr="00250D23">
        <w:rPr>
          <w:i/>
          <w:szCs w:val="21"/>
          <w:lang w:val="en-US"/>
        </w:rPr>
        <w:t>Revenue Equivalence Theorem.</w:t>
      </w:r>
    </w:p>
    <w:p w:rsidR="00041568" w:rsidRPr="00250D23" w:rsidRDefault="00041568">
      <w:pPr>
        <w:spacing w:before="0"/>
        <w:jc w:val="left"/>
        <w:rPr>
          <w:i/>
          <w:szCs w:val="21"/>
          <w:lang w:val="en-US"/>
        </w:rPr>
      </w:pPr>
      <w:r w:rsidRPr="00250D23">
        <w:rPr>
          <w:i/>
          <w:szCs w:val="21"/>
          <w:lang w:val="en-US"/>
        </w:rPr>
        <w:br w:type="page"/>
      </w:r>
    </w:p>
    <w:p w:rsidR="002933A3" w:rsidRPr="00250D23" w:rsidRDefault="002933A3" w:rsidP="002933A3">
      <w:pPr>
        <w:rPr>
          <w:i/>
          <w:szCs w:val="21"/>
          <w:lang w:val="en-US"/>
        </w:rPr>
      </w:pPr>
      <w:r w:rsidRPr="00250D23">
        <w:rPr>
          <w:i/>
          <w:szCs w:val="21"/>
          <w:lang w:val="en-US"/>
        </w:rPr>
        <w:lastRenderedPageBreak/>
        <w:t>The revenue equivalence theorem</w:t>
      </w:r>
    </w:p>
    <w:p w:rsidR="002933A3" w:rsidRPr="00250D23" w:rsidRDefault="002933A3" w:rsidP="002933A3">
      <w:pPr>
        <w:rPr>
          <w:szCs w:val="21"/>
          <w:lang w:val="en-US"/>
        </w:rPr>
      </w:pPr>
      <w:r w:rsidRPr="00250D23">
        <w:rPr>
          <w:szCs w:val="21"/>
          <w:lang w:val="en-US"/>
        </w:rPr>
        <w:t>If bidders are risk neutral, each has a privately known signal, and if signals are independent then all mechanisms such that:</w:t>
      </w:r>
    </w:p>
    <w:p w:rsidR="002933A3" w:rsidRPr="003B7043" w:rsidRDefault="002933A3" w:rsidP="003B7043">
      <w:pPr>
        <w:pStyle w:val="Enumlevel1"/>
      </w:pPr>
      <w:r w:rsidRPr="002933A3">
        <w:t>1.</w:t>
      </w:r>
      <w:r w:rsidR="003B7043">
        <w:tab/>
      </w:r>
      <w:r w:rsidRPr="002933A3">
        <w:t xml:space="preserve">The </w:t>
      </w:r>
      <w:r w:rsidRPr="003B7043">
        <w:t>object always goes to the bidder with the highest signal.</w:t>
      </w:r>
    </w:p>
    <w:p w:rsidR="002933A3" w:rsidRPr="002933A3" w:rsidRDefault="002933A3" w:rsidP="003B7043">
      <w:pPr>
        <w:pStyle w:val="Enumlevel1"/>
      </w:pPr>
      <w:r w:rsidRPr="003B7043">
        <w:t>2.</w:t>
      </w:r>
      <w:r w:rsidR="003B7043">
        <w:tab/>
      </w:r>
      <w:r w:rsidRPr="003B7043">
        <w:t>The bidder with</w:t>
      </w:r>
      <w:r w:rsidRPr="002933A3">
        <w:t xml:space="preserve"> the lowest feasible signal expects zero surplus.</w:t>
      </w:r>
    </w:p>
    <w:p w:rsidR="002933A3" w:rsidRPr="00250D23" w:rsidRDefault="002933A3" w:rsidP="002933A3">
      <w:pPr>
        <w:rPr>
          <w:szCs w:val="21"/>
          <w:lang w:val="en-US"/>
        </w:rPr>
      </w:pPr>
      <w:r w:rsidRPr="00250D23">
        <w:rPr>
          <w:szCs w:val="21"/>
          <w:lang w:val="en-US"/>
        </w:rPr>
        <w:t>will yield the same revenue.</w:t>
      </w:r>
    </w:p>
    <w:p w:rsidR="002933A3" w:rsidRPr="00250D23" w:rsidRDefault="002933A3" w:rsidP="002933A3">
      <w:pPr>
        <w:rPr>
          <w:szCs w:val="21"/>
          <w:lang w:val="en-US"/>
        </w:rPr>
      </w:pPr>
      <w:r w:rsidRPr="00250D23">
        <w:rPr>
          <w:szCs w:val="21"/>
          <w:lang w:val="en-US"/>
        </w:rPr>
        <w:t>If signals are, in addition, identically distributed then, all the basic auctions cited above are equivalent in that they generate the same revenue for the seller. However, it should be noted that the theorem is true not only in a context of private values. It holds in more general common value models provided the signals are independent.</w:t>
      </w:r>
    </w:p>
    <w:p w:rsidR="002933A3" w:rsidRPr="00250D23" w:rsidRDefault="002933A3" w:rsidP="002933A3">
      <w:pPr>
        <w:rPr>
          <w:i/>
          <w:szCs w:val="21"/>
          <w:lang w:val="en-US"/>
        </w:rPr>
      </w:pPr>
      <w:bookmarkStart w:id="7" w:name="39"/>
      <w:bookmarkEnd w:id="7"/>
      <w:r w:rsidRPr="00250D23">
        <w:rPr>
          <w:i/>
          <w:szCs w:val="21"/>
          <w:lang w:val="en-US"/>
        </w:rPr>
        <w:t>Revenue maximization</w:t>
      </w:r>
    </w:p>
    <w:p w:rsidR="002933A3" w:rsidRPr="00250D23" w:rsidRDefault="002933A3" w:rsidP="002933A3">
      <w:pPr>
        <w:rPr>
          <w:szCs w:val="21"/>
          <w:lang w:val="en-US"/>
        </w:rPr>
      </w:pPr>
      <w:r w:rsidRPr="00250D23">
        <w:rPr>
          <w:szCs w:val="21"/>
          <w:lang w:val="en-US"/>
        </w:rPr>
        <w:t>If we have independent private values, risk neutrality, and if the function according to which signals are distributed displays a regularity condition, all standard auctions, with an optimal reserve price, maximize the seller’s revenue.</w:t>
      </w:r>
    </w:p>
    <w:p w:rsidR="002933A3" w:rsidRPr="00250D23" w:rsidRDefault="002933A3" w:rsidP="002933A3">
      <w:pPr>
        <w:rPr>
          <w:i/>
          <w:szCs w:val="21"/>
          <w:lang w:val="en-US"/>
        </w:rPr>
      </w:pPr>
      <w:r w:rsidRPr="00250D23">
        <w:rPr>
          <w:i/>
          <w:szCs w:val="21"/>
          <w:lang w:val="en-US"/>
        </w:rPr>
        <w:t>Note 1</w:t>
      </w:r>
      <w:r w:rsidRPr="00250D23">
        <w:rPr>
          <w:szCs w:val="21"/>
          <w:lang w:val="en-US"/>
        </w:rPr>
        <w:t>: Under the hypothesis given above, both the second price sealed-bid auction and the English auction (with an optimal reserve price) maximize the seller’s revenue. These auctions have a dominant strategy equilibrium: for each of these, buyers maximize their expected revenue by bidding their true values</w:t>
      </w:r>
      <w:r w:rsidRPr="00250D23">
        <w:rPr>
          <w:i/>
          <w:szCs w:val="21"/>
          <w:lang w:val="en-US"/>
        </w:rPr>
        <w:t>, whatever the other players do.</w:t>
      </w:r>
    </w:p>
    <w:p w:rsidR="002933A3" w:rsidRPr="00250D23" w:rsidRDefault="002933A3" w:rsidP="002933A3">
      <w:pPr>
        <w:rPr>
          <w:szCs w:val="21"/>
          <w:lang w:val="en-US"/>
        </w:rPr>
      </w:pPr>
      <w:r w:rsidRPr="00250D23">
        <w:rPr>
          <w:szCs w:val="21"/>
          <w:lang w:val="en-US"/>
        </w:rPr>
        <w:t>The existence of a dominant strategy equilibrium is interesting in that it is robust. Players need not know anything about the others (not even the number of competitors) to calculate their optimal bid.</w:t>
      </w:r>
    </w:p>
    <w:p w:rsidR="002933A3" w:rsidRPr="00250D23" w:rsidRDefault="002933A3" w:rsidP="002933A3">
      <w:pPr>
        <w:rPr>
          <w:i/>
          <w:szCs w:val="21"/>
          <w:lang w:val="en-US"/>
        </w:rPr>
      </w:pPr>
      <w:r w:rsidRPr="00250D23">
        <w:rPr>
          <w:i/>
          <w:szCs w:val="21"/>
          <w:lang w:val="en-US"/>
        </w:rPr>
        <w:t xml:space="preserve">Note 2 </w:t>
      </w:r>
      <w:r w:rsidRPr="00250D23">
        <w:rPr>
          <w:szCs w:val="21"/>
          <w:lang w:val="en-US"/>
        </w:rPr>
        <w:t>: Discrepancy between efficiency and revenue maximization.</w:t>
      </w:r>
    </w:p>
    <w:p w:rsidR="002933A3" w:rsidRPr="00250D23" w:rsidRDefault="002933A3" w:rsidP="002933A3">
      <w:pPr>
        <w:rPr>
          <w:szCs w:val="21"/>
          <w:lang w:val="en-US"/>
        </w:rPr>
      </w:pPr>
      <w:r w:rsidRPr="00250D23">
        <w:rPr>
          <w:szCs w:val="21"/>
          <w:lang w:val="en-US"/>
        </w:rPr>
        <w:t>Because revenue maximization requires setting a reserve price, it may be inefficient. It is important to understand the source of inefficiency. If the object is sold, it will be to the one who values it the most (under the regularity condition). The outcome is inefficient only if the seller ends up keeping the object. Indeed, the optimal reserve price is such that there could be no sale agreement even though the object is of no value to the seller while all the buyers have positive values for it (basically, a reserve price allows the seller to get rid of reluctant buyers so as to get more revenue from eager buyers.)</w:t>
      </w:r>
    </w:p>
    <w:p w:rsidR="002933A3" w:rsidRPr="003B7043" w:rsidRDefault="002933A3" w:rsidP="00AC1B05">
      <w:pPr>
        <w:pStyle w:val="Heading2"/>
      </w:pPr>
      <w:r w:rsidRPr="003B7043">
        <w:t xml:space="preserve">Risk </w:t>
      </w:r>
      <w:r w:rsidRPr="00AC1B05">
        <w:t>aversion</w:t>
      </w:r>
    </w:p>
    <w:p w:rsidR="002933A3" w:rsidRPr="00250D23" w:rsidRDefault="002933A3" w:rsidP="002933A3">
      <w:pPr>
        <w:rPr>
          <w:szCs w:val="21"/>
          <w:lang w:val="en-US"/>
        </w:rPr>
      </w:pPr>
      <w:r w:rsidRPr="00250D23">
        <w:rPr>
          <w:szCs w:val="21"/>
          <w:lang w:val="en-US"/>
        </w:rPr>
        <w:t>When bidders are risk averse, the revenue maximizing auction becomes quite complex. There are two sources of risk in an auction:</w:t>
      </w:r>
    </w:p>
    <w:p w:rsidR="002933A3" w:rsidRPr="002933A3" w:rsidRDefault="002933A3" w:rsidP="003B7043">
      <w:pPr>
        <w:pStyle w:val="Enumlevel1"/>
      </w:pPr>
      <w:r w:rsidRPr="002933A3">
        <w:t>1.</w:t>
      </w:r>
      <w:r w:rsidR="003B7043">
        <w:tab/>
      </w:r>
      <w:r w:rsidRPr="002933A3">
        <w:t>An auction is a gamble in that the bidders may win or lose. The difference between what they get in each of these events is one source of risk.</w:t>
      </w:r>
    </w:p>
    <w:p w:rsidR="002933A3" w:rsidRPr="002933A3" w:rsidRDefault="002933A3" w:rsidP="003B7043">
      <w:pPr>
        <w:pStyle w:val="Enumlevel1"/>
      </w:pPr>
      <w:r w:rsidRPr="002933A3">
        <w:t>2.</w:t>
      </w:r>
      <w:r w:rsidR="003B7043">
        <w:tab/>
      </w:r>
      <w:r w:rsidRPr="002933A3">
        <w:t>Conditional on winning (or even losing) the amount they must pay (or receive) can depend on their competitors’ bids (as it does in a second price auction). Because they do not necessarily observe their opponent’s bid their payment may be random. This is a second source of risk.</w:t>
      </w:r>
    </w:p>
    <w:p w:rsidR="002933A3" w:rsidRPr="002933A3" w:rsidRDefault="002933A3" w:rsidP="003B7043">
      <w:pPr>
        <w:pStyle w:val="Enumlevel1"/>
      </w:pPr>
      <w:r w:rsidRPr="002933A3">
        <w:t>When bidders are risk averse, the following features can increase the seller’s revenue:</w:t>
      </w:r>
    </w:p>
    <w:p w:rsidR="002933A3" w:rsidRPr="002933A3" w:rsidRDefault="002933A3" w:rsidP="003B7043">
      <w:pPr>
        <w:pStyle w:val="Enumlevel1"/>
      </w:pPr>
      <w:r w:rsidRPr="002933A3">
        <w:t>3.</w:t>
      </w:r>
      <w:r w:rsidR="003B7043">
        <w:tab/>
      </w:r>
      <w:r w:rsidRPr="002933A3">
        <w:t>Payments should never be random. (Using random payments only deters competition.)</w:t>
      </w:r>
    </w:p>
    <w:p w:rsidR="002933A3" w:rsidRPr="002933A3" w:rsidRDefault="002933A3" w:rsidP="003B7043">
      <w:pPr>
        <w:pStyle w:val="Enumlevel1"/>
      </w:pPr>
      <w:r w:rsidRPr="002933A3">
        <w:t>4.</w:t>
      </w:r>
      <w:r w:rsidR="003B7043">
        <w:tab/>
      </w:r>
      <w:r w:rsidRPr="002933A3">
        <w:t>Eager buyers (high bidders) should get compensated when losing by receiving a subsidy while reluctant buyers (low bidders) must be forced to pay a fee. The idea is that the seller provides insurance to high bidders by lowering their first source of risk. This induces them to bid higher. He pays for this via a punishment on low bidders. They face more risk, and are less competitive. What is won on high bidders more than compensates the loss on low bidders.</w:t>
      </w:r>
    </w:p>
    <w:p w:rsidR="002933A3" w:rsidRPr="00250D23" w:rsidRDefault="002933A3" w:rsidP="002933A3">
      <w:pPr>
        <w:rPr>
          <w:szCs w:val="21"/>
          <w:lang w:val="en-US"/>
        </w:rPr>
      </w:pPr>
      <w:r w:rsidRPr="00250D23">
        <w:rPr>
          <w:szCs w:val="21"/>
          <w:lang w:val="en-US"/>
        </w:rPr>
        <w:lastRenderedPageBreak/>
        <w:t>The complexity of the optimal auction with risk-averse bidders raises the issue of implementation. The features described above are never observed in practice for they would be difficult to implement and require too much information.</w:t>
      </w:r>
    </w:p>
    <w:p w:rsidR="002933A3" w:rsidRPr="001C035F" w:rsidRDefault="002933A3" w:rsidP="00AC1B05">
      <w:pPr>
        <w:pStyle w:val="Heading3"/>
        <w:rPr>
          <w:lang w:val="fr-CH"/>
        </w:rPr>
      </w:pPr>
      <w:bookmarkStart w:id="8" w:name="40"/>
      <w:bookmarkEnd w:id="8"/>
      <w:r w:rsidRPr="001C035F">
        <w:rPr>
          <w:lang w:val="fr-CH"/>
        </w:rPr>
        <w:t>Non-private values auctions: Winner’s curse</w:t>
      </w:r>
    </w:p>
    <w:p w:rsidR="002933A3" w:rsidRPr="00250D23" w:rsidRDefault="002933A3" w:rsidP="002933A3">
      <w:pPr>
        <w:rPr>
          <w:szCs w:val="21"/>
          <w:lang w:val="en-US"/>
        </w:rPr>
      </w:pPr>
      <w:r w:rsidRPr="00250D23">
        <w:rPr>
          <w:szCs w:val="21"/>
          <w:lang w:val="en-US"/>
        </w:rPr>
        <w:t>When the value of the object either does not depend on any of the bidder’s characteristics (e.g. Treasury bond) or depends on his characteristics but also on other bidders’ characteristics then the revenue equivalence theorem breaks down.</w:t>
      </w:r>
    </w:p>
    <w:p w:rsidR="002933A3" w:rsidRPr="00250D23" w:rsidRDefault="002933A3" w:rsidP="002933A3">
      <w:pPr>
        <w:rPr>
          <w:szCs w:val="21"/>
          <w:lang w:val="en-US"/>
        </w:rPr>
      </w:pPr>
      <w:r w:rsidRPr="00250D23">
        <w:rPr>
          <w:szCs w:val="21"/>
          <w:lang w:val="en-US"/>
        </w:rPr>
        <w:t>The English auction (even the Japanese version) releases information and performs better in terms of revenue maximization than other mechanisms. More precisely the standard auction can now be ranked according to the revenue they generate as follows: English, Second price sealed-bid, First price sealed bid and Dutch (where the last two generate the same revenue).</w:t>
      </w:r>
    </w:p>
    <w:p w:rsidR="002933A3" w:rsidRPr="00250D23" w:rsidRDefault="002933A3" w:rsidP="002933A3">
      <w:pPr>
        <w:rPr>
          <w:szCs w:val="21"/>
          <w:lang w:val="en-US"/>
        </w:rPr>
      </w:pPr>
      <w:r w:rsidRPr="00250D23">
        <w:rPr>
          <w:i/>
          <w:szCs w:val="21"/>
          <w:lang w:val="en-US"/>
        </w:rPr>
        <w:t>The winner’s curse</w:t>
      </w:r>
      <w:r w:rsidRPr="00250D23">
        <w:rPr>
          <w:szCs w:val="21"/>
          <w:lang w:val="en-US"/>
        </w:rPr>
        <w:t>: To evaluate their bids, buyers have to calculate estimates of the value of the object. Other things being equal, the buyer with the largest estimate will make the highest bid. Therefore, even if all buyers make unbiased estimates, given their information (or signal), the winner is the one who has over-estimated the object’s value (on average). In other words, winning also means having the most favorable information regarding the object’s value. Therefore, in some instances, the true value of the object may end up being lower than the estimate. This general property of auctions is known as the winner’s curse.</w:t>
      </w:r>
    </w:p>
    <w:p w:rsidR="002933A3" w:rsidRPr="00250D23" w:rsidRDefault="002933A3" w:rsidP="002933A3">
      <w:pPr>
        <w:rPr>
          <w:szCs w:val="21"/>
          <w:lang w:val="en-US"/>
        </w:rPr>
      </w:pPr>
      <w:r w:rsidRPr="00250D23">
        <w:rPr>
          <w:szCs w:val="21"/>
          <w:lang w:val="en-US"/>
        </w:rPr>
        <w:t>Bidders, because they are rational, will take the winner’s curse into account when they bid. In effect this means that all bids are revised downwards. Therefore, to increase his revenue the seller should weaken the winner’s curse. By providing more information to all buyers the seller can reduce information asymmetry, increasing competition, and the value of bids.</w:t>
      </w:r>
    </w:p>
    <w:p w:rsidR="002933A3" w:rsidRPr="00250D23" w:rsidRDefault="002933A3" w:rsidP="002933A3">
      <w:pPr>
        <w:rPr>
          <w:szCs w:val="21"/>
          <w:lang w:val="en-US"/>
        </w:rPr>
      </w:pPr>
      <w:r w:rsidRPr="00250D23">
        <w:rPr>
          <w:szCs w:val="21"/>
          <w:lang w:val="en-US"/>
        </w:rPr>
        <w:t>In general, common value auctions (and more generally auctions with statistically dependent values) have received less attention than private value auctions. The main reason being that common values often lead to complex, non-tractable mathematical expressions.</w:t>
      </w:r>
    </w:p>
    <w:p w:rsidR="002933A3" w:rsidRPr="00250D23" w:rsidRDefault="002933A3" w:rsidP="002933A3">
      <w:pPr>
        <w:keepNext/>
        <w:rPr>
          <w:i/>
          <w:szCs w:val="21"/>
          <w:lang w:val="en-US"/>
        </w:rPr>
      </w:pPr>
      <w:r w:rsidRPr="00250D23">
        <w:rPr>
          <w:i/>
          <w:szCs w:val="21"/>
          <w:lang w:val="en-US"/>
        </w:rPr>
        <w:t>Multiple objects</w:t>
      </w:r>
    </w:p>
    <w:p w:rsidR="002933A3" w:rsidRPr="00250D23" w:rsidRDefault="002933A3" w:rsidP="002933A3">
      <w:pPr>
        <w:rPr>
          <w:szCs w:val="21"/>
          <w:lang w:val="en-US"/>
        </w:rPr>
      </w:pPr>
      <w:r w:rsidRPr="00250D23">
        <w:rPr>
          <w:szCs w:val="21"/>
          <w:lang w:val="en-US"/>
        </w:rPr>
        <w:t xml:space="preserve">In the case where there are multiple objects for sale, a set S of objects, then each buyer has a valuation for each possible subset of objects. Hence if vi (s) is the valuation of buyer i for subset s belonging to S. For instance, vi (1, 3) = 4 says that buyer i has a valuation of 4 if he ends up with objects 1 and 3 (and </w:t>
      </w:r>
      <w:r w:rsidRPr="00250D23">
        <w:rPr>
          <w:i/>
          <w:szCs w:val="21"/>
          <w:lang w:val="en-US"/>
        </w:rPr>
        <w:t>only</w:t>
      </w:r>
      <w:r w:rsidRPr="00250D23">
        <w:rPr>
          <w:szCs w:val="21"/>
          <w:lang w:val="en-US"/>
        </w:rPr>
        <w:t xml:space="preserve"> objects 1 and 3).</w:t>
      </w:r>
    </w:p>
    <w:p w:rsidR="002933A3" w:rsidRPr="00250D23" w:rsidRDefault="002933A3" w:rsidP="002933A3">
      <w:pPr>
        <w:rPr>
          <w:szCs w:val="21"/>
          <w:lang w:val="en-US"/>
        </w:rPr>
      </w:pPr>
      <w:r w:rsidRPr="00250D23">
        <w:rPr>
          <w:szCs w:val="21"/>
          <w:lang w:val="en-US"/>
        </w:rPr>
        <w:t>Valuations can display positive or negative complementarities. If vin(1, 3) &gt; vi (1) + vi (3), there are positive complementarities. If vi (1, 3) &lt; vi (1) + vi (3), there are negative complementarities. In spectrum auctions both cases are of practical relevance. An operator may need licenses in two neighboring regions (or in two neighboring frequency bands) or two licenses in the same region in order to have a viable business, in which case we expect positive complementarities. Alternatively, an operator may face decreasing marginal revenues in the number of customers in which case we expect negative complementarities. The existence and sign of complementarities play a large role in the choice of an auction mechanism.</w:t>
      </w:r>
    </w:p>
    <w:p w:rsidR="002933A3" w:rsidRPr="00250D23" w:rsidRDefault="002933A3" w:rsidP="002933A3">
      <w:pPr>
        <w:rPr>
          <w:szCs w:val="21"/>
          <w:lang w:val="en-US"/>
        </w:rPr>
      </w:pPr>
      <w:r w:rsidRPr="00250D23">
        <w:rPr>
          <w:szCs w:val="21"/>
          <w:lang w:val="en-US"/>
        </w:rPr>
        <w:t>Efficiency now means that the objects are allocated in a way to maximize the total surplus, which is given by the sum of the valuations of all the buyers. An allocation A is a subdivision of S among the n buyers of the form A=(A1,A2, ..., An). The efficient allocation satisfies:</w:t>
      </w:r>
    </w:p>
    <w:p w:rsidR="002933A3" w:rsidRPr="00250D23" w:rsidRDefault="002933A3" w:rsidP="002933A3">
      <w:pPr>
        <w:autoSpaceDE w:val="0"/>
        <w:autoSpaceDN w:val="0"/>
        <w:adjustRightInd w:val="0"/>
        <w:jc w:val="center"/>
        <w:rPr>
          <w:bCs/>
          <w:szCs w:val="21"/>
          <w:lang w:val="en-US"/>
        </w:rPr>
      </w:pPr>
      <w:r w:rsidRPr="00250D23">
        <w:rPr>
          <w:szCs w:val="21"/>
          <w:lang w:val="en-US"/>
        </w:rPr>
        <w:t xml:space="preserve">A* = maxA </w:t>
      </w:r>
      <w:r w:rsidRPr="00250D23">
        <w:rPr>
          <w:b/>
          <w:szCs w:val="21"/>
          <w:lang w:val="en-US"/>
        </w:rPr>
        <w:t>∑</w:t>
      </w:r>
      <w:r w:rsidRPr="00250D23">
        <w:rPr>
          <w:szCs w:val="21"/>
          <w:lang w:val="en-US"/>
        </w:rPr>
        <w:t>n i=1 vi(Ai)</w:t>
      </w:r>
    </w:p>
    <w:p w:rsidR="002933A3" w:rsidRPr="00250D23" w:rsidRDefault="002933A3" w:rsidP="002933A3">
      <w:pPr>
        <w:rPr>
          <w:szCs w:val="21"/>
          <w:lang w:val="en-US"/>
        </w:rPr>
      </w:pPr>
      <w:r w:rsidRPr="00250D23">
        <w:rPr>
          <w:szCs w:val="21"/>
          <w:lang w:val="en-US"/>
        </w:rPr>
        <w:t xml:space="preserve">There exists an extension of the Vickrey auction to multiple objects that achieves efficiency in an independent private values contest and with no budget constraints or wealth effect. It is </w:t>
      </w:r>
      <w:r w:rsidRPr="00250D23">
        <w:rPr>
          <w:i/>
          <w:szCs w:val="21"/>
          <w:lang w:val="en-US"/>
        </w:rPr>
        <w:t>called generalized Vickrey auction (or Groves-Clark mechanism, or combinatorial auction</w:t>
      </w:r>
      <w:r w:rsidRPr="00250D23">
        <w:rPr>
          <w:szCs w:val="21"/>
          <w:lang w:val="en-US"/>
        </w:rPr>
        <w:t>). As in the simple Vickrey auction</w:t>
      </w:r>
      <w:bookmarkStart w:id="9" w:name="41"/>
      <w:bookmarkEnd w:id="9"/>
      <w:r w:rsidRPr="00250D23">
        <w:rPr>
          <w:szCs w:val="21"/>
          <w:lang w:val="en-US"/>
        </w:rPr>
        <w:t xml:space="preserve"> bids are secret and simultaneous, i.e. a one-shot sealed-bid auction. Each buyer places a bid on each subset of S. For instance, if there are objects a, b, and c, each buyer bids on {a}, {b}, {c}, {a, b}, {a, c}, {b, c}, and {a, b, c} a total of seven numbers. The seller chooses the allocation that maximizes the </w:t>
      </w:r>
      <w:r w:rsidRPr="00250D23">
        <w:rPr>
          <w:szCs w:val="21"/>
          <w:lang w:val="en-US"/>
        </w:rPr>
        <w:lastRenderedPageBreak/>
        <w:t>sum of bids for subsets belonging to that allocation. The amount that buyer i pays is determined by looking at the bids of other players. Let b-i(A) denote the total amount of bids from players different from i for allocation A. Then if A' is the winning allocation, the amount that i pays is:</w:t>
      </w:r>
    </w:p>
    <w:p w:rsidR="002933A3" w:rsidRPr="00250D23" w:rsidRDefault="002933A3" w:rsidP="002933A3">
      <w:pPr>
        <w:autoSpaceDE w:val="0"/>
        <w:autoSpaceDN w:val="0"/>
        <w:adjustRightInd w:val="0"/>
        <w:jc w:val="center"/>
        <w:rPr>
          <w:szCs w:val="21"/>
          <w:lang w:val="en-US"/>
        </w:rPr>
      </w:pPr>
      <w:r w:rsidRPr="00250D23">
        <w:rPr>
          <w:szCs w:val="21"/>
          <w:lang w:val="en-US"/>
        </w:rPr>
        <w:t>pI = maxAb-i(A) - b-i(A').</w:t>
      </w:r>
    </w:p>
    <w:p w:rsidR="002933A3" w:rsidRPr="00250D23" w:rsidRDefault="002933A3" w:rsidP="002933A3">
      <w:pPr>
        <w:rPr>
          <w:szCs w:val="21"/>
          <w:lang w:val="en-US"/>
        </w:rPr>
      </w:pPr>
      <w:r w:rsidRPr="00250D23">
        <w:rPr>
          <w:szCs w:val="21"/>
          <w:lang w:val="en-US"/>
        </w:rPr>
        <w:t>Buyer i pays for the damage that he imposes on other buyers by changing – through his bid – the allocation. This is the same principle as paying the second highest bid. Indeed, if there is only one object, b-I (A')=0 and that maxA b-I (A) is equal to the second highest bid, and hence the generalized Vickrey auction is the same as the simple Vickrey auction.</w:t>
      </w:r>
    </w:p>
    <w:p w:rsidR="002933A3" w:rsidRPr="00250D23" w:rsidRDefault="002933A3" w:rsidP="002933A3">
      <w:pPr>
        <w:rPr>
          <w:szCs w:val="21"/>
          <w:lang w:val="en-US"/>
        </w:rPr>
      </w:pPr>
      <w:r w:rsidRPr="00250D23">
        <w:rPr>
          <w:szCs w:val="21"/>
          <w:lang w:val="en-US"/>
        </w:rPr>
        <w:t>It can be shown that in the generalized Vickrey auction it is a dominant strategy for buyers to bid their true valuation on every subset of objects. If every buyer bids truthfully, it is easy to see that the winning allocation will be the efficient allocation A*.</w:t>
      </w:r>
    </w:p>
    <w:p w:rsidR="002933A3" w:rsidRPr="00250D23" w:rsidRDefault="002933A3" w:rsidP="002933A3">
      <w:pPr>
        <w:rPr>
          <w:szCs w:val="21"/>
          <w:lang w:val="en-US"/>
        </w:rPr>
      </w:pPr>
      <w:r w:rsidRPr="00250D23">
        <w:rPr>
          <w:szCs w:val="21"/>
          <w:lang w:val="en-US"/>
        </w:rPr>
        <w:t>The generalized Vickrey auction can be extended further to accommodate social welfare considerations. As in the one-object case, the seller assigns a social benefit to each buyer (except that now he must assign a number for each possible allocation). It is also possible to extend the mechanism to take care of externalities among buyers.</w:t>
      </w:r>
    </w:p>
    <w:p w:rsidR="002933A3" w:rsidRPr="00250D23" w:rsidRDefault="002933A3" w:rsidP="002933A3">
      <w:pPr>
        <w:rPr>
          <w:szCs w:val="21"/>
          <w:lang w:val="en-US"/>
        </w:rPr>
      </w:pPr>
      <w:r w:rsidRPr="00250D23">
        <w:rPr>
          <w:szCs w:val="21"/>
          <w:lang w:val="en-US"/>
        </w:rPr>
        <w:t>Given this strong efficiency property, it may then be surprising that the generalized Vickrey auction has never been in used in practice to sell spectrum. One of the reasons is probably its complexity when the number of objects is high. The number of bids each buyer places is equal to the number of possible object combination. If the number of objects is m, the number of possible combinations is 2m- 1. This number becomes large very fast. With m = 20, it is over a million.</w:t>
      </w:r>
    </w:p>
    <w:p w:rsidR="002933A3" w:rsidRPr="00250D23" w:rsidRDefault="002933A3" w:rsidP="002933A3">
      <w:pPr>
        <w:rPr>
          <w:szCs w:val="21"/>
          <w:lang w:val="en-US"/>
        </w:rPr>
      </w:pPr>
      <w:r w:rsidRPr="00250D23">
        <w:rPr>
          <w:szCs w:val="21"/>
          <w:lang w:val="en-US"/>
        </w:rPr>
        <w:t>Auction designers have thus turned their attention away from one-shot mechanisms towards ascending mechanisms, with the idea that the latter are less computationally demanding because buyers only have to respond to the highest current bid rather than considering all possible combinations.</w:t>
      </w:r>
    </w:p>
    <w:p w:rsidR="002933A3" w:rsidRPr="00250D23" w:rsidRDefault="002933A3" w:rsidP="002933A3">
      <w:pPr>
        <w:rPr>
          <w:szCs w:val="21"/>
          <w:lang w:val="en-US"/>
        </w:rPr>
      </w:pPr>
      <w:r w:rsidRPr="00250D23">
        <w:rPr>
          <w:szCs w:val="21"/>
          <w:lang w:val="en-US"/>
        </w:rPr>
        <w:t xml:space="preserve">The most widespread design for spectrum sales is the </w:t>
      </w:r>
      <w:r w:rsidRPr="00250D23">
        <w:rPr>
          <w:i/>
          <w:szCs w:val="21"/>
          <w:lang w:val="en-US"/>
        </w:rPr>
        <w:t>simultaneous ascending auction</w:t>
      </w:r>
      <w:r w:rsidRPr="00250D23">
        <w:rPr>
          <w:szCs w:val="21"/>
          <w:lang w:val="en-US"/>
        </w:rPr>
        <w:t xml:space="preserve"> (SAA), introduced by the FCC in 1994. The auction is structured in simultaneous rounds. In each round, each buyer can place a bid on one or more objects. There may be an upper limit on the number and type of object on which a buyer can place bids (the </w:t>
      </w:r>
      <w:r w:rsidRPr="00250D23">
        <w:rPr>
          <w:i/>
          <w:szCs w:val="21"/>
          <w:lang w:val="en-US"/>
        </w:rPr>
        <w:t>eligibility rule</w:t>
      </w:r>
      <w:r w:rsidRPr="00250D23">
        <w:rPr>
          <w:szCs w:val="21"/>
          <w:lang w:val="en-US"/>
        </w:rPr>
        <w:t>), which is usually motivated by the desire to avoid excessive concentration. There may also be a lower limit (the activity rule), which has the objective to guarantee that the auction proceeds speedily. A buyer who violates the activity rule is eliminated from the auction. After bids are placed, the seller determines the current winners by looking at the highest bidder for each of the objects. The auction stops if, at some round, no new valid bids are received. In that case, the current highest bidder of each object is allocated the object and must pay his bid.</w:t>
      </w:r>
    </w:p>
    <w:p w:rsidR="002933A3" w:rsidRPr="00250D23" w:rsidRDefault="002933A3" w:rsidP="002933A3">
      <w:pPr>
        <w:rPr>
          <w:szCs w:val="21"/>
          <w:lang w:val="en-US"/>
        </w:rPr>
      </w:pPr>
      <w:r w:rsidRPr="00250D23">
        <w:rPr>
          <w:szCs w:val="21"/>
          <w:lang w:val="en-US"/>
        </w:rPr>
        <w:t xml:space="preserve">Discrepancies between the SAA and the generalized Vickrey auction occur in the presence of </w:t>
      </w:r>
      <w:r w:rsidRPr="00250D23">
        <w:rPr>
          <w:i/>
          <w:szCs w:val="21"/>
          <w:lang w:val="en-US"/>
        </w:rPr>
        <w:t>exposure problems</w:t>
      </w:r>
      <w:r w:rsidRPr="00250D23">
        <w:rPr>
          <w:szCs w:val="21"/>
          <w:lang w:val="en-US"/>
        </w:rPr>
        <w:t xml:space="preserve"> . There is an exposure problem when some buyers have positive complementarities and others have negative complementarities. The SAA is not always efficient because of the exposure problem.</w:t>
      </w:r>
    </w:p>
    <w:p w:rsidR="002933A3" w:rsidRPr="00250D23" w:rsidRDefault="002933A3" w:rsidP="002933A3">
      <w:pPr>
        <w:rPr>
          <w:szCs w:val="21"/>
          <w:lang w:val="en-US"/>
        </w:rPr>
      </w:pPr>
      <w:r w:rsidRPr="00250D23">
        <w:rPr>
          <w:szCs w:val="21"/>
          <w:lang w:val="en-US"/>
        </w:rPr>
        <w:t>Not only does the exposure problem generate inefficiency in the SAA, but it also reduces the expected revenue of the seller. An often cited example of how the exposure problem can hurt efficiency and revenues is the 1998 spectrum auction held in the Netherlands (DCS 1800MHz). Eighteen licenses were for sale. Six of them were grouped in lot A, six of them were grouped in lot B, and the remaining six were sold singularly but buyers could cumulate them. The outcome of the auction was that the prices per bandwidth on lot A and B were twice as high as on the small licenses. This suggests that buyers had positive complementarities, they were interested in collecting several of the small licenses but were deterred to do so by the risk of being left with only one or two small licenses. One operator resold its only and almost worthless small license after the auction. In this special case, the resale of the license indicates that the auction format had not achieved efficient allocations in the first place.</w:t>
      </w:r>
    </w:p>
    <w:p w:rsidR="002933A3" w:rsidRPr="00250D23" w:rsidRDefault="002933A3" w:rsidP="002933A3">
      <w:pPr>
        <w:rPr>
          <w:szCs w:val="21"/>
          <w:lang w:val="en-US"/>
        </w:rPr>
      </w:pPr>
      <w:r w:rsidRPr="00250D23">
        <w:rPr>
          <w:szCs w:val="21"/>
          <w:lang w:val="en-US"/>
        </w:rPr>
        <w:t xml:space="preserve">In response to the exposure problem, the FCC has considered alternative auction formats. Following the advice of several leading auction theorists, it decided to adopt a </w:t>
      </w:r>
      <w:r w:rsidRPr="00250D23">
        <w:rPr>
          <w:i/>
          <w:szCs w:val="21"/>
          <w:lang w:val="en-US"/>
        </w:rPr>
        <w:t>dynamic combinatorial auction</w:t>
      </w:r>
      <w:r w:rsidRPr="00250D23">
        <w:rPr>
          <w:szCs w:val="21"/>
          <w:lang w:val="en-US"/>
        </w:rPr>
        <w:t xml:space="preserve"> (DCA). The new format will be used in a FCC 700MHz spectrum auction to be held in March 2001. The DCA is still an ascending bid auction. However, it differs from the SAA in that buyers are allowed package bidding, </w:t>
      </w:r>
      <w:r w:rsidRPr="00250D23">
        <w:rPr>
          <w:szCs w:val="21"/>
          <w:lang w:val="en-US"/>
        </w:rPr>
        <w:lastRenderedPageBreak/>
        <w:t>that is, they are allowed to make joint bids on more than one object. At each round a buyer can submit bids on single objects and on packages of objects. A bid on a package means that the bid is paid only if the buyer gets the whole package. A buyer can bid on many objects and many packages. After bids are placed, the seller computes the allocation that would generate the highest revenue, analogously to the generalized Vickrey auction. The bids that compose the winning allocation are considered the current winning bids. But also the other bids stand. In the next round bidders must offer more than the current winning allocation but can do so by using the other standing bids.</w:t>
      </w:r>
    </w:p>
    <w:p w:rsidR="002933A3" w:rsidRPr="00250D23" w:rsidRDefault="002933A3" w:rsidP="002933A3">
      <w:pPr>
        <w:rPr>
          <w:szCs w:val="21"/>
          <w:lang w:val="en-US"/>
        </w:rPr>
      </w:pPr>
      <w:r w:rsidRPr="00250D23">
        <w:rPr>
          <w:szCs w:val="21"/>
          <w:lang w:val="en-US"/>
        </w:rPr>
        <w:t>The main advantage of the DCA is that it eliminates the exposure problem. However, it has been pointed out that the DCA creates a problem that in some senses is the converse of the exposure problem, which has been called the threshold problem. This auction format can give rise to a free rider problem among bidders on the individual licenses. Small buyers who are interested in small lots may have an incentive to wait and see if other small buyers increase their offers, because that will help them beat the offers of large buyers interested in large lots. Thus, two buyers may be tempted to wait and see if the other buyer moves first. This strategic effect may induce inefficiency and lower revenues.</w:t>
      </w:r>
    </w:p>
    <w:p w:rsidR="002933A3" w:rsidRPr="00250D23" w:rsidRDefault="002933A3" w:rsidP="002933A3">
      <w:pPr>
        <w:rPr>
          <w:szCs w:val="21"/>
          <w:lang w:val="en-US"/>
        </w:rPr>
      </w:pPr>
      <w:r w:rsidRPr="00250D23">
        <w:rPr>
          <w:szCs w:val="21"/>
          <w:lang w:val="en-US"/>
        </w:rPr>
        <w:t>In conclusion, each of the three mechanisms that have been considered for multiple objects has a distinctive drawback. The “generalized” Vickrey auction may be too complicated, the SAA has the exposure problem, and the DCA has the threshold problem or free riding problem. The optimal choice will depend on the number of objects for sale, on the number of bidders and on the type of synergies (complementarities) that the seller expects to exist.</w:t>
      </w:r>
    </w:p>
    <w:p w:rsidR="002933A3" w:rsidRPr="00250D23" w:rsidRDefault="002933A3" w:rsidP="002933A3">
      <w:pPr>
        <w:rPr>
          <w:i/>
          <w:szCs w:val="21"/>
          <w:lang w:val="en-US"/>
        </w:rPr>
      </w:pPr>
      <w:r w:rsidRPr="00250D23">
        <w:rPr>
          <w:i/>
          <w:szCs w:val="21"/>
          <w:lang w:val="en-US"/>
        </w:rPr>
        <w:t>Collusion</w:t>
      </w:r>
    </w:p>
    <w:p w:rsidR="002933A3" w:rsidRPr="00250D23" w:rsidRDefault="002933A3" w:rsidP="002933A3">
      <w:pPr>
        <w:rPr>
          <w:szCs w:val="21"/>
          <w:lang w:val="en-US"/>
        </w:rPr>
      </w:pPr>
      <w:r w:rsidRPr="00250D23">
        <w:rPr>
          <w:szCs w:val="21"/>
          <w:lang w:val="en-US"/>
        </w:rPr>
        <w:t>Collusion among buyers may take many forms. It may entail explicit agreements before the auction (bidding rings) on how to bid during the auction. Perhaps more important in the case of spectrum auctions is tacit collusion. Buyers do not directly communicate but they have an implicit mutual understanding on how to keep prices down.</w:t>
      </w:r>
    </w:p>
    <w:p w:rsidR="002933A3" w:rsidRPr="00250D23" w:rsidRDefault="002933A3" w:rsidP="002933A3">
      <w:pPr>
        <w:rPr>
          <w:szCs w:val="21"/>
          <w:lang w:val="en-US"/>
        </w:rPr>
      </w:pPr>
      <w:r w:rsidRPr="00250D23">
        <w:rPr>
          <w:szCs w:val="21"/>
          <w:lang w:val="en-US"/>
        </w:rPr>
        <w:t>This type of tacit collusion goes away if the seller uses a one-shot format, such as the generalized Vickrey auction. It is the ascending nature of the SAA that allows for a credible threat of retaliation and hence for tacit collusion. Thus, the fear of tacit collusion goes in the opposite direction of common values, and tends to favor one-shot formats.</w:t>
      </w:r>
    </w:p>
    <w:p w:rsidR="002933A3" w:rsidRPr="00250D23" w:rsidRDefault="002933A3" w:rsidP="002933A3">
      <w:pPr>
        <w:rPr>
          <w:szCs w:val="21"/>
          <w:lang w:val="en-US"/>
        </w:rPr>
      </w:pPr>
      <w:r w:rsidRPr="00250D23">
        <w:rPr>
          <w:szCs w:val="21"/>
          <w:lang w:val="en-US"/>
        </w:rPr>
        <w:t>Under some assumptions, auctions may be perfect mechanisms to reach efficiency and maximize seller's revenues. The extensions of the basic framework go in different directions. If the goal is revenue maximization, common values militate in favor of the English auction, collusion makes the use of one-shot mechanisms more attractive, while risk aversion favors first-price mechanisms. If instead the goal is efficiency, common values do not, as a first approximation, matter, and the effects of risk aversion and collusion are unclear. The optimal design should try to balance these different forces.</w:t>
      </w:r>
    </w:p>
    <w:p w:rsidR="002933A3" w:rsidRPr="00250D23" w:rsidRDefault="002933A3" w:rsidP="002933A3">
      <w:pPr>
        <w:keepNext/>
        <w:keepLines/>
        <w:rPr>
          <w:bCs/>
          <w:szCs w:val="21"/>
          <w:lang w:val="en-US"/>
        </w:rPr>
      </w:pPr>
      <w:bookmarkStart w:id="10" w:name="43"/>
      <w:bookmarkEnd w:id="10"/>
      <w:r w:rsidRPr="00250D23">
        <w:rPr>
          <w:szCs w:val="21"/>
          <w:lang w:val="en-US"/>
        </w:rPr>
        <w:t>Hybrid formats are possible too. In the case of m identical licenses and n buyers who can only acquire one license each, one suggestion has been made to use an English auction to screen out all buyers but m + 1, and then run a first-price sealed bid auction among the m + 1 remaining buyers. This auction – called Anglo-Dutch– should combine the benefits of the ascending format in reducing the winner's curse and the advantage of a one-shot format in avoiding collusion bandwidth on lot A and B were twice as high as on the small licenses. This suggests that buyers had positive complementarities, they were interested in collecting several of the small licenses but were deterred to do so by the risk of being left with only one or two small licenses. One operator resold its only and almost worthless small license after the auction. In this special case, the resale of the license indicates that the auction format had not achieved efficient allocations in the first place.</w:t>
      </w:r>
    </w:p>
    <w:p w:rsidR="003B7043" w:rsidRPr="00250D23" w:rsidRDefault="003B7043">
      <w:pPr>
        <w:spacing w:before="0"/>
        <w:jc w:val="left"/>
        <w:rPr>
          <w:b/>
          <w:szCs w:val="21"/>
          <w:lang w:val="en-US"/>
        </w:rPr>
      </w:pPr>
      <w:r w:rsidRPr="00250D23">
        <w:rPr>
          <w:b/>
          <w:szCs w:val="21"/>
          <w:lang w:val="en-US"/>
        </w:rPr>
        <w:br w:type="page"/>
      </w:r>
    </w:p>
    <w:p w:rsidR="002933A3" w:rsidRPr="002933A3" w:rsidRDefault="002933A3" w:rsidP="00AA1CD3">
      <w:pPr>
        <w:pStyle w:val="Heading1"/>
      </w:pPr>
      <w:bookmarkStart w:id="11" w:name="_Toc380408285"/>
      <w:bookmarkStart w:id="12" w:name="_Toc356483659"/>
      <w:bookmarkEnd w:id="4"/>
      <w:r w:rsidRPr="002933A3">
        <w:lastRenderedPageBreak/>
        <w:t>Annex 2: Auctions Case Studies</w:t>
      </w:r>
      <w:bookmarkEnd w:id="11"/>
    </w:p>
    <w:p w:rsidR="002933A3" w:rsidRPr="00250D23" w:rsidRDefault="002933A3" w:rsidP="00AA1CD3">
      <w:pPr>
        <w:rPr>
          <w:lang w:val="en-US"/>
        </w:rPr>
      </w:pPr>
      <w:r w:rsidRPr="00250D23">
        <w:rPr>
          <w:lang w:val="en-US"/>
        </w:rPr>
        <w:t>Average price/MHz/pop versus average income per capita =&gt; other variables?</w:t>
      </w:r>
    </w:p>
    <w:p w:rsidR="002933A3" w:rsidRPr="002933A3" w:rsidRDefault="002933A3" w:rsidP="00AA1CD3">
      <w:pPr>
        <w:pStyle w:val="Heading2"/>
      </w:pPr>
      <w:bookmarkStart w:id="13" w:name="_Toc380408286"/>
      <w:r w:rsidRPr="002933A3">
        <w:t>2.1</w:t>
      </w:r>
      <w:r w:rsidRPr="002933A3">
        <w:tab/>
        <w:t>Case of France: the 800 MHz band</w:t>
      </w:r>
      <w:bookmarkEnd w:id="13"/>
    </w:p>
    <w:p w:rsidR="002933A3" w:rsidRPr="00250D23" w:rsidRDefault="002933A3" w:rsidP="002933A3">
      <w:pPr>
        <w:rPr>
          <w:szCs w:val="21"/>
          <w:lang w:val="en-US"/>
        </w:rPr>
      </w:pPr>
      <w:r w:rsidRPr="00250D23">
        <w:rPr>
          <w:szCs w:val="21"/>
          <w:lang w:val="en-US"/>
        </w:rPr>
        <w:t>In accordance with the call for bids issued on 15 June 2011 by ARCEP for allocation of frequencies in the 800 MHz band in connection with the rollout of new networks (4G/LTE), ARCEP on 22 December 2011 published the results of the procedure for awarding licences for frequencies in the 800 MHz band in metropolitan France in order to establish and operate a public mobile radio-frequency network (Decision 2011-2011). The selection was based on three criteria set out in the call for bids: an undertaking to develop the territory; commitment to admit mobile virtual network operators (MVNOs); and the sum proposed for the frequencies.</w:t>
      </w:r>
    </w:p>
    <w:p w:rsidR="002933A3" w:rsidRPr="00250D23" w:rsidRDefault="002933A3" w:rsidP="00AA1CD3">
      <w:pPr>
        <w:rPr>
          <w:lang w:val="en-US"/>
        </w:rPr>
      </w:pPr>
      <w:r w:rsidRPr="00250D23">
        <w:rPr>
          <w:lang w:val="en-US"/>
        </w:rPr>
        <w:t>In the light of the bids submitted by the applicants, the following results were obtained:</w:t>
      </w:r>
    </w:p>
    <w:bookmarkStart w:id="14" w:name="_Toc380411942"/>
    <w:bookmarkEnd w:id="14"/>
    <w:p w:rsidR="00AA1CD3" w:rsidRPr="002933A3" w:rsidRDefault="00AA1CD3" w:rsidP="00AA1CD3">
      <w:pPr>
        <w:pStyle w:val="Figuretitle"/>
      </w:pPr>
      <w:r>
        <w:object w:dxaOrig="9348" w:dyaOrig="2801">
          <v:shape id="_x0000_i1026" type="#_x0000_t75" style="width:466.35pt;height:139.8pt" o:ole="">
            <v:imagedata r:id="rId15" o:title=""/>
          </v:shape>
          <o:OLEObject Type="Embed" ProgID="Word.Document.12" ShapeID="_x0000_i1026" DrawAspect="Content" ObjectID="_1456057547" r:id="rId16">
            <o:FieldCodes>\s</o:FieldCodes>
          </o:OLEObject>
        </w:object>
      </w:r>
    </w:p>
    <w:p w:rsidR="00AA1CD3" w:rsidRDefault="00AA1CD3" w:rsidP="002933A3">
      <w:pPr>
        <w:keepNext/>
        <w:rPr>
          <w:szCs w:val="21"/>
        </w:rPr>
      </w:pPr>
    </w:p>
    <w:p w:rsidR="002933A3" w:rsidRPr="00250D23" w:rsidRDefault="002933A3" w:rsidP="00AA1CD3">
      <w:pPr>
        <w:rPr>
          <w:lang w:val="en-US"/>
        </w:rPr>
      </w:pPr>
      <w:r w:rsidRPr="00250D23">
        <w:rPr>
          <w:lang w:val="en-US"/>
        </w:rPr>
        <w:t>The following table gives details of the winning bids.</w:t>
      </w:r>
    </w:p>
    <w:p w:rsidR="00AA1CD3" w:rsidRPr="00250D23" w:rsidRDefault="00AA1CD3" w:rsidP="002933A3">
      <w:pPr>
        <w:keepNext/>
        <w:rPr>
          <w:szCs w:val="21"/>
          <w:lang w:val="en-US"/>
        </w:rPr>
      </w:pPr>
    </w:p>
    <w:tbl>
      <w:tblPr>
        <w:tblStyle w:val="TableGrid"/>
        <w:tblW w:w="9072" w:type="dxa"/>
        <w:jc w:val="center"/>
        <w:tblLook w:val="04A0" w:firstRow="1" w:lastRow="0" w:firstColumn="1" w:lastColumn="0" w:noHBand="0" w:noVBand="1"/>
      </w:tblPr>
      <w:tblGrid>
        <w:gridCol w:w="1815"/>
        <w:gridCol w:w="1814"/>
        <w:gridCol w:w="1814"/>
        <w:gridCol w:w="1814"/>
        <w:gridCol w:w="1815"/>
      </w:tblGrid>
      <w:tr w:rsidR="002933A3" w:rsidRPr="00AA1CD3" w:rsidTr="0031767B">
        <w:trPr>
          <w:jc w:val="center"/>
        </w:trPr>
        <w:tc>
          <w:tcPr>
            <w:tcW w:w="1749" w:type="dxa"/>
            <w:tcBorders>
              <w:bottom w:val="single" w:sz="4" w:space="0" w:color="auto"/>
            </w:tcBorders>
            <w:shd w:val="clear" w:color="auto" w:fill="005173"/>
            <w:vAlign w:val="center"/>
          </w:tcPr>
          <w:p w:rsidR="002933A3" w:rsidRPr="00AA1CD3" w:rsidRDefault="002933A3" w:rsidP="00AA1CD3">
            <w:pPr>
              <w:pStyle w:val="Tablehead"/>
            </w:pPr>
            <w:r w:rsidRPr="00AA1CD3">
              <w:t>Winning bidder</w:t>
            </w:r>
          </w:p>
        </w:tc>
        <w:tc>
          <w:tcPr>
            <w:tcW w:w="1749" w:type="dxa"/>
            <w:tcBorders>
              <w:bottom w:val="single" w:sz="4" w:space="0" w:color="auto"/>
            </w:tcBorders>
            <w:shd w:val="clear" w:color="auto" w:fill="005173"/>
            <w:vAlign w:val="center"/>
          </w:tcPr>
          <w:p w:rsidR="002933A3" w:rsidRPr="00AA1CD3" w:rsidRDefault="002933A3" w:rsidP="00AA1CD3">
            <w:pPr>
              <w:pStyle w:val="Tablehead"/>
            </w:pPr>
            <w:r w:rsidRPr="00AA1CD3">
              <w:t>Frequency block acquired</w:t>
            </w:r>
          </w:p>
        </w:tc>
        <w:tc>
          <w:tcPr>
            <w:tcW w:w="1749" w:type="dxa"/>
            <w:tcBorders>
              <w:bottom w:val="single" w:sz="4" w:space="0" w:color="auto"/>
            </w:tcBorders>
            <w:shd w:val="clear" w:color="auto" w:fill="005173"/>
            <w:vAlign w:val="center"/>
          </w:tcPr>
          <w:p w:rsidR="002933A3" w:rsidRPr="00AA1CD3" w:rsidRDefault="002933A3" w:rsidP="00AA1CD3">
            <w:pPr>
              <w:pStyle w:val="Tablehead"/>
            </w:pPr>
            <w:r w:rsidRPr="00AA1CD3">
              <w:t>Sum offered</w:t>
            </w:r>
          </w:p>
        </w:tc>
        <w:tc>
          <w:tcPr>
            <w:tcW w:w="1749" w:type="dxa"/>
            <w:tcBorders>
              <w:bottom w:val="single" w:sz="4" w:space="0" w:color="auto"/>
            </w:tcBorders>
            <w:shd w:val="clear" w:color="auto" w:fill="005173"/>
            <w:vAlign w:val="center"/>
          </w:tcPr>
          <w:p w:rsidR="002933A3" w:rsidRPr="00AA1CD3" w:rsidRDefault="002933A3" w:rsidP="00AA1CD3">
            <w:pPr>
              <w:pStyle w:val="Tablehead"/>
            </w:pPr>
            <w:r w:rsidRPr="00AA1CD3">
              <w:t>Agreement to admit MVNOs</w:t>
            </w:r>
          </w:p>
        </w:tc>
        <w:tc>
          <w:tcPr>
            <w:tcW w:w="1750" w:type="dxa"/>
            <w:tcBorders>
              <w:bottom w:val="single" w:sz="4" w:space="0" w:color="auto"/>
            </w:tcBorders>
            <w:shd w:val="clear" w:color="auto" w:fill="005173"/>
            <w:vAlign w:val="center"/>
          </w:tcPr>
          <w:p w:rsidR="002933A3" w:rsidRPr="00AA1CD3" w:rsidRDefault="002933A3" w:rsidP="00AA1CD3">
            <w:pPr>
              <w:pStyle w:val="Tablehead"/>
            </w:pPr>
            <w:r w:rsidRPr="00AA1CD3">
              <w:t>Undertaking to develop territory</w:t>
            </w:r>
          </w:p>
        </w:tc>
      </w:tr>
      <w:tr w:rsidR="002933A3" w:rsidRPr="00AA1CD3" w:rsidTr="0031767B">
        <w:trPr>
          <w:jc w:val="center"/>
        </w:trPr>
        <w:tc>
          <w:tcPr>
            <w:tcW w:w="1749" w:type="dxa"/>
            <w:shd w:val="clear" w:color="auto" w:fill="E8F8FD"/>
          </w:tcPr>
          <w:p w:rsidR="002933A3" w:rsidRPr="00AA1CD3" w:rsidRDefault="002933A3" w:rsidP="00AA1CD3">
            <w:pPr>
              <w:pStyle w:val="Tabletext"/>
              <w:spacing w:before="60" w:after="60"/>
            </w:pPr>
            <w:r w:rsidRPr="00AA1CD3">
              <w:t>Bouygues Telecom</w:t>
            </w:r>
          </w:p>
        </w:tc>
        <w:tc>
          <w:tcPr>
            <w:tcW w:w="1749" w:type="dxa"/>
            <w:shd w:val="clear" w:color="auto" w:fill="E8F8FD"/>
          </w:tcPr>
          <w:p w:rsidR="002933A3" w:rsidRPr="00AA1CD3" w:rsidRDefault="002933A3" w:rsidP="00AA1CD3">
            <w:pPr>
              <w:pStyle w:val="Tabletext"/>
              <w:spacing w:before="60" w:after="60"/>
            </w:pPr>
            <w:r w:rsidRPr="00AA1CD3">
              <w:t>Block A</w:t>
            </w:r>
            <w:r w:rsidRPr="00AA1CD3">
              <w:br/>
              <w:t>(</w:t>
            </w:r>
            <w:r w:rsidRPr="00AA1CD3">
              <w:rPr>
                <w:rFonts w:cstheme="minorHAnsi"/>
              </w:rPr>
              <w:t>10</w:t>
            </w:r>
            <w:r w:rsidRPr="00AA1CD3">
              <w:t xml:space="preserve"> MHz duplex)</w:t>
            </w:r>
          </w:p>
        </w:tc>
        <w:tc>
          <w:tcPr>
            <w:tcW w:w="1749" w:type="dxa"/>
            <w:shd w:val="clear" w:color="auto" w:fill="E8F8FD"/>
          </w:tcPr>
          <w:p w:rsidR="002933A3" w:rsidRPr="00AA1CD3" w:rsidRDefault="002933A3" w:rsidP="00AA1CD3">
            <w:pPr>
              <w:pStyle w:val="Tabletext"/>
              <w:spacing w:before="60" w:after="60"/>
              <w:jc w:val="center"/>
              <w:rPr>
                <w:rFonts w:cstheme="minorHAnsi"/>
              </w:rPr>
            </w:pPr>
            <w:r w:rsidRPr="00AA1CD3">
              <w:rPr>
                <w:rFonts w:cstheme="minorHAnsi"/>
              </w:rPr>
              <w:t>683 087 000 €</w:t>
            </w:r>
          </w:p>
        </w:tc>
        <w:tc>
          <w:tcPr>
            <w:tcW w:w="1749" w:type="dxa"/>
            <w:shd w:val="clear" w:color="auto" w:fill="E8F8FD"/>
          </w:tcPr>
          <w:p w:rsidR="002933A3" w:rsidRPr="00AA1CD3" w:rsidRDefault="002933A3" w:rsidP="00AA1CD3">
            <w:pPr>
              <w:pStyle w:val="Tabletext"/>
              <w:spacing w:before="60" w:after="60"/>
              <w:jc w:val="center"/>
            </w:pPr>
            <w:r w:rsidRPr="00AA1CD3">
              <w:t>Yes</w:t>
            </w:r>
          </w:p>
        </w:tc>
        <w:tc>
          <w:tcPr>
            <w:tcW w:w="1750" w:type="dxa"/>
            <w:shd w:val="clear" w:color="auto" w:fill="E8F8FD"/>
          </w:tcPr>
          <w:p w:rsidR="002933A3" w:rsidRPr="00AA1CD3" w:rsidRDefault="002933A3" w:rsidP="00AA1CD3">
            <w:pPr>
              <w:pStyle w:val="Tabletext"/>
              <w:spacing w:before="60" w:after="60"/>
              <w:jc w:val="center"/>
            </w:pPr>
            <w:r w:rsidRPr="00AA1CD3">
              <w:t>Yes</w:t>
            </w:r>
          </w:p>
        </w:tc>
      </w:tr>
      <w:tr w:rsidR="002933A3" w:rsidRPr="00AA1CD3" w:rsidTr="0031767B">
        <w:trPr>
          <w:jc w:val="center"/>
        </w:trPr>
        <w:tc>
          <w:tcPr>
            <w:tcW w:w="1749" w:type="dxa"/>
            <w:tcBorders>
              <w:bottom w:val="single" w:sz="4" w:space="0" w:color="auto"/>
            </w:tcBorders>
          </w:tcPr>
          <w:p w:rsidR="002933A3" w:rsidRPr="00AA1CD3" w:rsidRDefault="002933A3" w:rsidP="00AA1CD3">
            <w:pPr>
              <w:pStyle w:val="Tabletext"/>
              <w:spacing w:before="60" w:after="60"/>
            </w:pPr>
            <w:r w:rsidRPr="00AA1CD3">
              <w:t>SFR</w:t>
            </w:r>
          </w:p>
        </w:tc>
        <w:tc>
          <w:tcPr>
            <w:tcW w:w="1749" w:type="dxa"/>
            <w:tcBorders>
              <w:bottom w:val="single" w:sz="4" w:space="0" w:color="auto"/>
            </w:tcBorders>
          </w:tcPr>
          <w:p w:rsidR="002933A3" w:rsidRPr="00250D23" w:rsidRDefault="002933A3" w:rsidP="00AA1CD3">
            <w:pPr>
              <w:pStyle w:val="Tabletext"/>
              <w:spacing w:before="60" w:after="60"/>
              <w:rPr>
                <w:lang w:val="en-US"/>
              </w:rPr>
            </w:pPr>
            <w:r w:rsidRPr="00250D23">
              <w:rPr>
                <w:lang w:val="en-US"/>
              </w:rPr>
              <w:t>Blocks B + C</w:t>
            </w:r>
            <w:r w:rsidRPr="00250D23">
              <w:rPr>
                <w:lang w:val="en-US"/>
              </w:rPr>
              <w:br/>
              <w:t>(</w:t>
            </w:r>
            <w:r w:rsidRPr="00250D23">
              <w:rPr>
                <w:rFonts w:cstheme="minorHAnsi"/>
                <w:lang w:val="en-US"/>
              </w:rPr>
              <w:t>10</w:t>
            </w:r>
            <w:r w:rsidRPr="00250D23">
              <w:rPr>
                <w:lang w:val="en-US"/>
              </w:rPr>
              <w:t xml:space="preserve"> MHz duplex)</w:t>
            </w:r>
          </w:p>
        </w:tc>
        <w:tc>
          <w:tcPr>
            <w:tcW w:w="1749" w:type="dxa"/>
            <w:tcBorders>
              <w:bottom w:val="single" w:sz="4" w:space="0" w:color="auto"/>
            </w:tcBorders>
          </w:tcPr>
          <w:p w:rsidR="002933A3" w:rsidRPr="00AA1CD3" w:rsidRDefault="002933A3" w:rsidP="00AA1CD3">
            <w:pPr>
              <w:pStyle w:val="Tabletext"/>
              <w:spacing w:before="60" w:after="60"/>
              <w:jc w:val="center"/>
              <w:rPr>
                <w:rFonts w:cstheme="minorHAnsi"/>
              </w:rPr>
            </w:pPr>
            <w:r w:rsidRPr="00AA1CD3">
              <w:t>1 065 000 000 €</w:t>
            </w:r>
          </w:p>
        </w:tc>
        <w:tc>
          <w:tcPr>
            <w:tcW w:w="1749" w:type="dxa"/>
            <w:tcBorders>
              <w:bottom w:val="single" w:sz="4" w:space="0" w:color="auto"/>
            </w:tcBorders>
          </w:tcPr>
          <w:p w:rsidR="002933A3" w:rsidRPr="00AA1CD3" w:rsidRDefault="002933A3" w:rsidP="00AA1CD3">
            <w:pPr>
              <w:pStyle w:val="Tabletext"/>
              <w:spacing w:before="60" w:after="60"/>
              <w:jc w:val="center"/>
            </w:pPr>
            <w:r w:rsidRPr="00AA1CD3">
              <w:t>Yes</w:t>
            </w:r>
          </w:p>
        </w:tc>
        <w:tc>
          <w:tcPr>
            <w:tcW w:w="1750" w:type="dxa"/>
            <w:tcBorders>
              <w:bottom w:val="single" w:sz="4" w:space="0" w:color="auto"/>
            </w:tcBorders>
          </w:tcPr>
          <w:p w:rsidR="002933A3" w:rsidRPr="00AA1CD3" w:rsidRDefault="002933A3" w:rsidP="00AA1CD3">
            <w:pPr>
              <w:pStyle w:val="Tabletext"/>
              <w:spacing w:before="60" w:after="60"/>
              <w:jc w:val="center"/>
            </w:pPr>
            <w:r w:rsidRPr="00AA1CD3">
              <w:t>Yes</w:t>
            </w:r>
          </w:p>
        </w:tc>
      </w:tr>
      <w:tr w:rsidR="002933A3" w:rsidRPr="00AA1CD3" w:rsidTr="0031767B">
        <w:trPr>
          <w:jc w:val="center"/>
        </w:trPr>
        <w:tc>
          <w:tcPr>
            <w:tcW w:w="1749" w:type="dxa"/>
            <w:shd w:val="clear" w:color="auto" w:fill="E8F8FD"/>
          </w:tcPr>
          <w:p w:rsidR="002933A3" w:rsidRPr="00AA1CD3" w:rsidRDefault="002933A3" w:rsidP="00AA1CD3">
            <w:pPr>
              <w:pStyle w:val="Tabletext"/>
              <w:spacing w:before="60" w:after="60"/>
            </w:pPr>
            <w:r w:rsidRPr="00AA1CD3">
              <w:t>Orange France</w:t>
            </w:r>
          </w:p>
        </w:tc>
        <w:tc>
          <w:tcPr>
            <w:tcW w:w="1749" w:type="dxa"/>
            <w:shd w:val="clear" w:color="auto" w:fill="E8F8FD"/>
          </w:tcPr>
          <w:p w:rsidR="002933A3" w:rsidRPr="00AA1CD3" w:rsidRDefault="002933A3" w:rsidP="00AA1CD3">
            <w:pPr>
              <w:pStyle w:val="Tabletext"/>
              <w:spacing w:before="60" w:after="60"/>
            </w:pPr>
            <w:r w:rsidRPr="00AA1CD3">
              <w:t>Block D</w:t>
            </w:r>
            <w:r w:rsidRPr="00AA1CD3">
              <w:br/>
              <w:t>(</w:t>
            </w:r>
            <w:r w:rsidRPr="00AA1CD3">
              <w:rPr>
                <w:rFonts w:cstheme="minorHAnsi"/>
              </w:rPr>
              <w:t>10</w:t>
            </w:r>
            <w:r w:rsidRPr="00AA1CD3">
              <w:t xml:space="preserve"> MHz duplex)</w:t>
            </w:r>
          </w:p>
        </w:tc>
        <w:tc>
          <w:tcPr>
            <w:tcW w:w="1749" w:type="dxa"/>
            <w:shd w:val="clear" w:color="auto" w:fill="E8F8FD"/>
          </w:tcPr>
          <w:p w:rsidR="002933A3" w:rsidRPr="00AA1CD3" w:rsidRDefault="002933A3" w:rsidP="00AA1CD3">
            <w:pPr>
              <w:pStyle w:val="Tabletext"/>
              <w:spacing w:before="60" w:after="60"/>
              <w:jc w:val="center"/>
              <w:rPr>
                <w:rFonts w:cstheme="minorHAnsi"/>
              </w:rPr>
            </w:pPr>
            <w:r w:rsidRPr="00AA1CD3">
              <w:t>891 000 000 €</w:t>
            </w:r>
          </w:p>
        </w:tc>
        <w:tc>
          <w:tcPr>
            <w:tcW w:w="1749" w:type="dxa"/>
            <w:shd w:val="clear" w:color="auto" w:fill="E8F8FD"/>
          </w:tcPr>
          <w:p w:rsidR="002933A3" w:rsidRPr="00AA1CD3" w:rsidRDefault="002933A3" w:rsidP="00AA1CD3">
            <w:pPr>
              <w:pStyle w:val="Tabletext"/>
              <w:spacing w:before="60" w:after="60"/>
              <w:jc w:val="center"/>
            </w:pPr>
            <w:r w:rsidRPr="00AA1CD3">
              <w:t>Yes</w:t>
            </w:r>
          </w:p>
        </w:tc>
        <w:tc>
          <w:tcPr>
            <w:tcW w:w="1750" w:type="dxa"/>
            <w:shd w:val="clear" w:color="auto" w:fill="E8F8FD"/>
          </w:tcPr>
          <w:p w:rsidR="002933A3" w:rsidRPr="00AA1CD3" w:rsidRDefault="002933A3" w:rsidP="00AA1CD3">
            <w:pPr>
              <w:pStyle w:val="Tabletext"/>
              <w:spacing w:before="60" w:after="60"/>
              <w:jc w:val="center"/>
            </w:pPr>
            <w:r w:rsidRPr="00AA1CD3">
              <w:t>Yes</w:t>
            </w:r>
          </w:p>
        </w:tc>
      </w:tr>
    </w:tbl>
    <w:p w:rsidR="00AA1CD3" w:rsidRDefault="00AA1CD3" w:rsidP="00AA1CD3"/>
    <w:p w:rsidR="002933A3" w:rsidRPr="00250D23" w:rsidRDefault="002933A3" w:rsidP="002933A3">
      <w:pPr>
        <w:rPr>
          <w:szCs w:val="21"/>
          <w:lang w:val="en-US"/>
        </w:rPr>
      </w:pPr>
      <w:r w:rsidRPr="00250D23">
        <w:rPr>
          <w:szCs w:val="21"/>
          <w:lang w:val="en-US"/>
        </w:rPr>
        <w:t>Awarding frequencies in the 800 MHz band has made it possible to capitalize on the public radio-frequency resource, to the tune of 2.639 billion euros (compared to the reserve price of 1.8 billion euros).</w:t>
      </w:r>
    </w:p>
    <w:p w:rsidR="002933A3" w:rsidRPr="00250D23" w:rsidRDefault="002933A3" w:rsidP="002933A3">
      <w:pPr>
        <w:rPr>
          <w:szCs w:val="21"/>
          <w:lang w:val="en-US"/>
        </w:rPr>
      </w:pPr>
      <w:r w:rsidRPr="00250D23">
        <w:rPr>
          <w:szCs w:val="21"/>
          <w:lang w:val="en-US"/>
        </w:rPr>
        <w:t>Note: ARCEP, in its decisions of 22 December 2011 and 17 January 2012, awarded roaming rights in the 800 MHz band to the operator Free Mobile in SFR's 4G network, since the ARCEP call for bids had agreed to this concession in awarding the operator a licence to use frequencies in the 2 600 MHz band, rather than the 800 MHz band.</w:t>
      </w:r>
    </w:p>
    <w:p w:rsidR="002933A3" w:rsidRPr="00250D23" w:rsidRDefault="002933A3" w:rsidP="002933A3">
      <w:pPr>
        <w:rPr>
          <w:szCs w:val="21"/>
          <w:lang w:val="en-US"/>
        </w:rPr>
      </w:pPr>
      <w:r w:rsidRPr="00250D23">
        <w:rPr>
          <w:szCs w:val="21"/>
          <w:lang w:val="en-US"/>
        </w:rPr>
        <w:t>On 11 October 2011, ARCEP published the results of the initial call for 4G/LTE bids for the 2.6 GHz frequency band (Decisions 2011 – 168-171):</w:t>
      </w:r>
    </w:p>
    <w:p w:rsidR="002933A3" w:rsidRPr="00250D23" w:rsidRDefault="002933A3" w:rsidP="00AA1CD3">
      <w:pPr>
        <w:tabs>
          <w:tab w:val="left" w:pos="2127"/>
        </w:tabs>
        <w:rPr>
          <w:szCs w:val="21"/>
          <w:lang w:val="en-US"/>
        </w:rPr>
      </w:pPr>
      <w:r w:rsidRPr="00250D23">
        <w:rPr>
          <w:szCs w:val="21"/>
          <w:lang w:val="en-US"/>
        </w:rPr>
        <w:t xml:space="preserve">Orange: </w:t>
      </w:r>
      <w:r w:rsidRPr="00250D23">
        <w:rPr>
          <w:szCs w:val="21"/>
          <w:lang w:val="en-US"/>
        </w:rPr>
        <w:tab/>
        <w:t>20 MHz duplex for 287 118 501 euros</w:t>
      </w:r>
    </w:p>
    <w:p w:rsidR="002933A3" w:rsidRPr="00250D23" w:rsidRDefault="002933A3" w:rsidP="00AA1CD3">
      <w:pPr>
        <w:tabs>
          <w:tab w:val="left" w:pos="2127"/>
        </w:tabs>
        <w:rPr>
          <w:szCs w:val="21"/>
          <w:lang w:val="en-US"/>
        </w:rPr>
      </w:pPr>
      <w:r w:rsidRPr="00250D23">
        <w:rPr>
          <w:szCs w:val="21"/>
          <w:lang w:val="en-US"/>
        </w:rPr>
        <w:lastRenderedPageBreak/>
        <w:t>Free Mobile:</w:t>
      </w:r>
      <w:r w:rsidRPr="00250D23">
        <w:rPr>
          <w:szCs w:val="21"/>
          <w:lang w:val="en-US"/>
        </w:rPr>
        <w:tab/>
        <w:t>20 MHz duplex for 271 000 000 euros</w:t>
      </w:r>
    </w:p>
    <w:p w:rsidR="002933A3" w:rsidRPr="00250D23" w:rsidRDefault="002933A3" w:rsidP="00AA1CD3">
      <w:pPr>
        <w:tabs>
          <w:tab w:val="left" w:pos="2127"/>
        </w:tabs>
        <w:rPr>
          <w:szCs w:val="21"/>
          <w:lang w:val="en-US"/>
        </w:rPr>
      </w:pPr>
      <w:r w:rsidRPr="00250D23">
        <w:rPr>
          <w:szCs w:val="21"/>
          <w:lang w:val="en-US"/>
        </w:rPr>
        <w:t>Bouygues Telecom:</w:t>
      </w:r>
      <w:r w:rsidRPr="00250D23">
        <w:rPr>
          <w:szCs w:val="21"/>
          <w:lang w:val="en-US"/>
        </w:rPr>
        <w:tab/>
        <w:t>15 MHz duplex for 228 011 012 euros</w:t>
      </w:r>
    </w:p>
    <w:p w:rsidR="002933A3" w:rsidRPr="00250D23" w:rsidRDefault="002933A3" w:rsidP="00AA1CD3">
      <w:pPr>
        <w:tabs>
          <w:tab w:val="left" w:pos="2127"/>
        </w:tabs>
        <w:rPr>
          <w:szCs w:val="21"/>
          <w:lang w:val="en-US"/>
        </w:rPr>
      </w:pPr>
      <w:r w:rsidRPr="00250D23">
        <w:rPr>
          <w:szCs w:val="21"/>
          <w:lang w:val="en-US"/>
        </w:rPr>
        <w:t>SFR:</w:t>
      </w:r>
      <w:r w:rsidRPr="00250D23">
        <w:rPr>
          <w:szCs w:val="21"/>
          <w:lang w:val="en-US"/>
        </w:rPr>
        <w:tab/>
        <w:t>15 MHz duplex for 150 000 000 euros.</w:t>
      </w:r>
    </w:p>
    <w:p w:rsidR="002933A3" w:rsidRPr="002933A3" w:rsidRDefault="002933A3" w:rsidP="00AA1CD3">
      <w:pPr>
        <w:pStyle w:val="Heading2"/>
      </w:pPr>
      <w:bookmarkStart w:id="15" w:name="_Toc380408287"/>
      <w:r w:rsidRPr="002933A3">
        <w:t>2.2</w:t>
      </w:r>
      <w:r w:rsidRPr="002933A3">
        <w:tab/>
        <w:t>Case of the United States</w:t>
      </w:r>
      <w:bookmarkEnd w:id="15"/>
    </w:p>
    <w:p w:rsidR="002933A3" w:rsidRPr="00250D23" w:rsidRDefault="002933A3" w:rsidP="002933A3">
      <w:pPr>
        <w:rPr>
          <w:szCs w:val="21"/>
          <w:lang w:val="en-US"/>
        </w:rPr>
      </w:pPr>
      <w:r w:rsidRPr="00250D23">
        <w:rPr>
          <w:szCs w:val="21"/>
          <w:lang w:val="en-US"/>
        </w:rPr>
        <w:t>In 2006, the FCC decided to conduct auctions for the Advanced Wireless Service (AWS). As with all auctions, the FCC began by drawing up a specific plan of frequency bands to determine the bandwidths authorized at each site in order to establish lots. Each lot comprised a specific frequency band covering a specific geographical area. In this case the FCC decided that six paired frequency blocks (A to F) would be auctioned, with 1 710-1 755 MHz for the uplink and 2 210-2 155 MHz for the downlink.</w:t>
      </w:r>
    </w:p>
    <w:p w:rsidR="002933A3" w:rsidRPr="00250D23" w:rsidRDefault="002933A3" w:rsidP="002933A3">
      <w:pPr>
        <w:rPr>
          <w:szCs w:val="21"/>
          <w:lang w:val="en-US"/>
        </w:rPr>
      </w:pPr>
      <w:r w:rsidRPr="00250D23">
        <w:rPr>
          <w:szCs w:val="21"/>
          <w:lang w:val="en-US"/>
        </w:rPr>
        <w:t>Three blocks were of 20 MHz and another three of 10 MHz. As the United States is a large country, each frequency block was also divided geographically. In addition, the FCC was ready to admit all types of bidder, and divided the blocks using three different methods: for blocks D-F the country was divided into 12 large regions, with 176 medium-sized regions for blocks B and C and 734 small regions for block A.</w:t>
      </w:r>
    </w:p>
    <w:p w:rsidR="002933A3" w:rsidRPr="00250D23" w:rsidRDefault="002933A3" w:rsidP="002933A3">
      <w:pPr>
        <w:rPr>
          <w:szCs w:val="21"/>
          <w:lang w:val="en-US"/>
        </w:rPr>
      </w:pPr>
      <w:r w:rsidRPr="00250D23">
        <w:rPr>
          <w:szCs w:val="21"/>
          <w:lang w:val="en-US"/>
        </w:rPr>
        <w:t>It was notable that the divisions did not lead to a hierarchy, since a bidder could not formulate a bid for medium-sized zones by aggregating a number of smaller lots. This clearly limited the possibility of cross-bidding between blocks. The AWS auction for 90 MHz of bandwidth in 2006 involved 161 rounds and attained a total sum of USD 14 billion.</w:t>
      </w:r>
    </w:p>
    <w:p w:rsidR="002933A3" w:rsidRDefault="002933A3" w:rsidP="002933A3">
      <w:pPr>
        <w:rPr>
          <w:szCs w:val="21"/>
        </w:rPr>
      </w:pPr>
      <w:r w:rsidRPr="00250D23">
        <w:rPr>
          <w:szCs w:val="21"/>
          <w:lang w:val="en-US"/>
        </w:rPr>
        <w:t xml:space="preserve">The next and most important auction was that of the 700 MHz band in 2008, in which the FCC adopted the same approach as with the AWS auction. Specific blocks were auctioned using a division of three categories on US territory. Once again this did not lead to development of a hierarchy. </w:t>
      </w:r>
      <w:r w:rsidRPr="002933A3">
        <w:rPr>
          <w:szCs w:val="21"/>
        </w:rPr>
        <w:t>The final prices by bandwidth/population were as follows:</w:t>
      </w:r>
    </w:p>
    <w:p w:rsidR="00AA1CD3" w:rsidRPr="0031767B" w:rsidRDefault="00AA1CD3" w:rsidP="00AA1CD3">
      <w:pPr>
        <w:rPr>
          <w:sz w:val="8"/>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2168"/>
        <w:gridCol w:w="2168"/>
        <w:gridCol w:w="2169"/>
      </w:tblGrid>
      <w:tr w:rsidR="002933A3" w:rsidRPr="00AA1CD3" w:rsidTr="00AA1CD3">
        <w:trPr>
          <w:cantSplit/>
          <w:jc w:val="center"/>
        </w:trPr>
        <w:tc>
          <w:tcPr>
            <w:tcW w:w="2516" w:type="dxa"/>
            <w:tcBorders>
              <w:bottom w:val="single" w:sz="4" w:space="0" w:color="auto"/>
            </w:tcBorders>
            <w:shd w:val="clear" w:color="auto" w:fill="005173"/>
          </w:tcPr>
          <w:p w:rsidR="002933A3" w:rsidRPr="00AA1CD3" w:rsidRDefault="002933A3" w:rsidP="00AA1CD3">
            <w:pPr>
              <w:pStyle w:val="Tablehead"/>
            </w:pPr>
            <w:r w:rsidRPr="00AA1CD3">
              <w:t>BLOCK</w:t>
            </w:r>
          </w:p>
        </w:tc>
        <w:tc>
          <w:tcPr>
            <w:tcW w:w="2126" w:type="dxa"/>
            <w:tcBorders>
              <w:bottom w:val="single" w:sz="4" w:space="0" w:color="auto"/>
            </w:tcBorders>
            <w:shd w:val="clear" w:color="auto" w:fill="005173"/>
          </w:tcPr>
          <w:p w:rsidR="002933A3" w:rsidRPr="00AA1CD3" w:rsidRDefault="002933A3" w:rsidP="00AA1CD3">
            <w:pPr>
              <w:pStyle w:val="Tablehead"/>
            </w:pPr>
            <w:r w:rsidRPr="00AA1CD3">
              <w:t>A</w:t>
            </w:r>
          </w:p>
        </w:tc>
        <w:tc>
          <w:tcPr>
            <w:tcW w:w="2126" w:type="dxa"/>
            <w:tcBorders>
              <w:bottom w:val="single" w:sz="4" w:space="0" w:color="auto"/>
            </w:tcBorders>
            <w:shd w:val="clear" w:color="auto" w:fill="005173"/>
          </w:tcPr>
          <w:p w:rsidR="002933A3" w:rsidRPr="00AA1CD3" w:rsidRDefault="002933A3" w:rsidP="00AA1CD3">
            <w:pPr>
              <w:pStyle w:val="Tablehead"/>
            </w:pPr>
            <w:r w:rsidRPr="00AA1CD3">
              <w:t>B</w:t>
            </w:r>
          </w:p>
        </w:tc>
        <w:tc>
          <w:tcPr>
            <w:tcW w:w="2127" w:type="dxa"/>
            <w:tcBorders>
              <w:bottom w:val="single" w:sz="4" w:space="0" w:color="auto"/>
            </w:tcBorders>
            <w:shd w:val="clear" w:color="auto" w:fill="005173"/>
          </w:tcPr>
          <w:p w:rsidR="002933A3" w:rsidRPr="00AA1CD3" w:rsidRDefault="002933A3" w:rsidP="00AA1CD3">
            <w:pPr>
              <w:pStyle w:val="Tablehead"/>
            </w:pPr>
            <w:r w:rsidRPr="00AA1CD3">
              <w:t>C</w:t>
            </w:r>
          </w:p>
        </w:tc>
      </w:tr>
      <w:tr w:rsidR="002933A3" w:rsidRPr="00AA1CD3" w:rsidTr="00AA1CD3">
        <w:trPr>
          <w:cantSplit/>
          <w:jc w:val="center"/>
        </w:trPr>
        <w:tc>
          <w:tcPr>
            <w:tcW w:w="2516" w:type="dxa"/>
            <w:shd w:val="clear" w:color="auto" w:fill="E8F8FD"/>
          </w:tcPr>
          <w:p w:rsidR="002933A3" w:rsidRPr="00AC1B05" w:rsidRDefault="002933A3" w:rsidP="00AA1CD3">
            <w:pPr>
              <w:pStyle w:val="Tabletext"/>
              <w:rPr>
                <w:b/>
                <w:bCs/>
                <w:lang w:val="en-US"/>
              </w:rPr>
            </w:pPr>
            <w:r w:rsidRPr="00AC1B05">
              <w:rPr>
                <w:b/>
                <w:bCs/>
                <w:lang w:val="en-US"/>
              </w:rPr>
              <w:t>Bandwidth</w:t>
            </w:r>
            <w:r w:rsidR="00AA1CD3" w:rsidRPr="00AC1B05">
              <w:rPr>
                <w:b/>
                <w:bCs/>
                <w:lang w:val="en-US"/>
              </w:rPr>
              <w:br/>
            </w:r>
            <w:r w:rsidRPr="00AC1B05">
              <w:rPr>
                <w:b/>
                <w:bCs/>
                <w:lang w:val="en-US"/>
              </w:rPr>
              <w:t>Type</w:t>
            </w:r>
            <w:r w:rsidR="00AA1CD3" w:rsidRPr="00AC1B05">
              <w:rPr>
                <w:b/>
                <w:bCs/>
                <w:lang w:val="en-US"/>
              </w:rPr>
              <w:br/>
            </w:r>
            <w:r w:rsidRPr="00AC1B05">
              <w:rPr>
                <w:b/>
                <w:bCs/>
                <w:lang w:val="en-US"/>
              </w:rPr>
              <w:t xml:space="preserve">Division of lots </w:t>
            </w:r>
          </w:p>
        </w:tc>
        <w:tc>
          <w:tcPr>
            <w:tcW w:w="2126" w:type="dxa"/>
            <w:shd w:val="clear" w:color="auto" w:fill="E8F8FD"/>
          </w:tcPr>
          <w:p w:rsidR="002933A3" w:rsidRPr="00AA1CD3" w:rsidRDefault="002933A3" w:rsidP="00AA1CD3">
            <w:pPr>
              <w:pStyle w:val="Tabletext"/>
            </w:pPr>
            <w:r w:rsidRPr="00AA1CD3">
              <w:t>12 MHz</w:t>
            </w:r>
            <w:r w:rsidR="00AA1CD3">
              <w:br/>
            </w:r>
            <w:r w:rsidRPr="00AA1CD3">
              <w:t>Paired</w:t>
            </w:r>
            <w:r w:rsidR="00AA1CD3">
              <w:br/>
            </w:r>
            <w:r w:rsidRPr="00AA1CD3">
              <w:t>176</w:t>
            </w:r>
          </w:p>
        </w:tc>
        <w:tc>
          <w:tcPr>
            <w:tcW w:w="2126" w:type="dxa"/>
            <w:shd w:val="clear" w:color="auto" w:fill="E8F8FD"/>
          </w:tcPr>
          <w:p w:rsidR="00AA1CD3" w:rsidRPr="00AA1CD3" w:rsidRDefault="002933A3" w:rsidP="00AA1CD3">
            <w:pPr>
              <w:pStyle w:val="Tabletext"/>
            </w:pPr>
            <w:r w:rsidRPr="00AA1CD3">
              <w:t>12 MHz</w:t>
            </w:r>
            <w:r w:rsidR="00AA1CD3">
              <w:br/>
            </w:r>
            <w:r w:rsidRPr="00AA1CD3">
              <w:t>Paired</w:t>
            </w:r>
            <w:r w:rsidR="00AA1CD3">
              <w:br/>
            </w:r>
            <w:r w:rsidRPr="00AA1CD3">
              <w:t>734</w:t>
            </w:r>
          </w:p>
        </w:tc>
        <w:tc>
          <w:tcPr>
            <w:tcW w:w="2127" w:type="dxa"/>
            <w:shd w:val="clear" w:color="auto" w:fill="E8F8FD"/>
          </w:tcPr>
          <w:p w:rsidR="002933A3" w:rsidRPr="00AA1CD3" w:rsidRDefault="002933A3" w:rsidP="00AA1CD3">
            <w:pPr>
              <w:pStyle w:val="Tabletext"/>
            </w:pPr>
            <w:r w:rsidRPr="00AA1CD3">
              <w:t>22 MHz</w:t>
            </w:r>
            <w:r w:rsidR="00AA1CD3">
              <w:br/>
            </w:r>
            <w:r w:rsidRPr="00AA1CD3">
              <w:t>Paired</w:t>
            </w:r>
            <w:r w:rsidR="00AA1CD3">
              <w:br/>
            </w:r>
            <w:r w:rsidRPr="00AA1CD3">
              <w:t>12</w:t>
            </w:r>
          </w:p>
        </w:tc>
      </w:tr>
      <w:tr w:rsidR="002933A3" w:rsidRPr="00AA1CD3" w:rsidTr="00AA1CD3">
        <w:trPr>
          <w:cantSplit/>
          <w:jc w:val="center"/>
        </w:trPr>
        <w:tc>
          <w:tcPr>
            <w:tcW w:w="2516" w:type="dxa"/>
          </w:tcPr>
          <w:p w:rsidR="002933A3" w:rsidRPr="00AC1B05" w:rsidRDefault="002933A3" w:rsidP="00AA1CD3">
            <w:pPr>
              <w:pStyle w:val="Tabletext"/>
              <w:rPr>
                <w:b/>
                <w:bCs/>
              </w:rPr>
            </w:pPr>
            <w:r w:rsidRPr="00AC1B05">
              <w:rPr>
                <w:b/>
                <w:bCs/>
              </w:rPr>
              <w:t>Price USD/MHz-pop.</w:t>
            </w:r>
          </w:p>
        </w:tc>
        <w:tc>
          <w:tcPr>
            <w:tcW w:w="2126" w:type="dxa"/>
          </w:tcPr>
          <w:p w:rsidR="002933A3" w:rsidRPr="00AA1CD3" w:rsidRDefault="002933A3" w:rsidP="00AA1CD3">
            <w:pPr>
              <w:pStyle w:val="Tabletext"/>
            </w:pPr>
            <w:r w:rsidRPr="00AA1CD3">
              <w:t>USD 1.16</w:t>
            </w:r>
          </w:p>
        </w:tc>
        <w:tc>
          <w:tcPr>
            <w:tcW w:w="2126" w:type="dxa"/>
          </w:tcPr>
          <w:p w:rsidR="002933A3" w:rsidRPr="00AA1CD3" w:rsidRDefault="002933A3" w:rsidP="00AA1CD3">
            <w:pPr>
              <w:pStyle w:val="Tabletext"/>
            </w:pPr>
            <w:r w:rsidRPr="00AA1CD3">
              <w:t>USD 2.68</w:t>
            </w:r>
          </w:p>
        </w:tc>
        <w:tc>
          <w:tcPr>
            <w:tcW w:w="2127" w:type="dxa"/>
          </w:tcPr>
          <w:p w:rsidR="002933A3" w:rsidRPr="00AA1CD3" w:rsidRDefault="002933A3" w:rsidP="00AA1CD3">
            <w:pPr>
              <w:pStyle w:val="Tabletext"/>
            </w:pPr>
            <w:r w:rsidRPr="00AA1CD3">
              <w:t>USD 0.76</w:t>
            </w:r>
          </w:p>
        </w:tc>
      </w:tr>
    </w:tbl>
    <w:p w:rsidR="00AA1CD3" w:rsidRPr="0031767B" w:rsidRDefault="00AA1CD3" w:rsidP="00AA1CD3">
      <w:pPr>
        <w:rPr>
          <w:sz w:val="8"/>
          <w:lang w:val="en-US"/>
        </w:rPr>
      </w:pPr>
    </w:p>
    <w:p w:rsidR="002933A3" w:rsidRPr="002933A3" w:rsidRDefault="002933A3" w:rsidP="00AA1CD3">
      <w:pPr>
        <w:pStyle w:val="Heading2"/>
      </w:pPr>
      <w:bookmarkStart w:id="16" w:name="_Toc380408288"/>
      <w:r w:rsidRPr="002933A3">
        <w:t>2.3</w:t>
      </w:r>
      <w:r w:rsidRPr="002933A3">
        <w:tab/>
        <w:t>Case of Sweden</w:t>
      </w:r>
      <w:bookmarkEnd w:id="16"/>
    </w:p>
    <w:p w:rsidR="002933A3" w:rsidRPr="002933A3" w:rsidRDefault="002933A3" w:rsidP="00AA1CD3">
      <w:pPr>
        <w:pStyle w:val="Heading4"/>
      </w:pPr>
      <w:r w:rsidRPr="002933A3">
        <w:t>Parameters</w:t>
      </w:r>
    </w:p>
    <w:p w:rsidR="002933A3" w:rsidRPr="002933A3" w:rsidRDefault="002933A3" w:rsidP="00AC1B05">
      <w:pPr>
        <w:spacing w:before="60"/>
      </w:pPr>
      <w:r w:rsidRPr="002933A3">
        <w:t>License duration: 20 years</w:t>
      </w:r>
    </w:p>
    <w:p w:rsidR="002933A3" w:rsidRPr="002933A3" w:rsidRDefault="002933A3" w:rsidP="00AC1B05">
      <w:pPr>
        <w:spacing w:before="60"/>
      </w:pPr>
      <w:r w:rsidRPr="002933A3">
        <w:t>National auction conducted by PTS</w:t>
      </w:r>
    </w:p>
    <w:p w:rsidR="002933A3" w:rsidRPr="002933A3" w:rsidRDefault="002933A3" w:rsidP="00AC1B05">
      <w:pPr>
        <w:spacing w:before="60"/>
      </w:pPr>
      <w:r w:rsidRPr="002933A3">
        <w:t>Open simultaneous multiple-round ascending</w:t>
      </w:r>
    </w:p>
    <w:p w:rsidR="002933A3" w:rsidRPr="002933A3" w:rsidRDefault="002933A3" w:rsidP="00AC1B05">
      <w:pPr>
        <w:spacing w:before="60"/>
      </w:pPr>
      <w:r w:rsidRPr="002933A3">
        <w:t>Duration: 16 days</w:t>
      </w:r>
    </w:p>
    <w:p w:rsidR="002933A3" w:rsidRPr="002933A3" w:rsidRDefault="002933A3" w:rsidP="00AC1B05">
      <w:pPr>
        <w:spacing w:before="60"/>
      </w:pPr>
      <w:r w:rsidRPr="002933A3">
        <w:t>Number of rounds: 112</w:t>
      </w:r>
    </w:p>
    <w:p w:rsidR="002933A3" w:rsidRPr="002933A3" w:rsidRDefault="002933A3" w:rsidP="00AC1B05">
      <w:pPr>
        <w:spacing w:before="60"/>
      </w:pPr>
      <w:r w:rsidRPr="002933A3">
        <w:t>Possibility of exchanging blocks</w:t>
      </w:r>
    </w:p>
    <w:p w:rsidR="002933A3" w:rsidRPr="002933A3" w:rsidRDefault="002933A3" w:rsidP="00AC1B05">
      <w:pPr>
        <w:spacing w:before="60"/>
      </w:pPr>
      <w:r w:rsidRPr="002933A3">
        <w:t>Cost of participation: 50 000 euros</w:t>
      </w:r>
    </w:p>
    <w:p w:rsidR="002933A3" w:rsidRPr="002933A3" w:rsidRDefault="002933A3" w:rsidP="00AC1B05">
      <w:pPr>
        <w:spacing w:before="60"/>
      </w:pPr>
      <w:r w:rsidRPr="002933A3">
        <w:t>Starting price: 15 000 euros/MHz</w:t>
      </w:r>
    </w:p>
    <w:p w:rsidR="002933A3" w:rsidRPr="00250D23" w:rsidRDefault="002933A3" w:rsidP="00AC1B05">
      <w:pPr>
        <w:spacing w:before="60"/>
        <w:rPr>
          <w:lang w:val="en-US"/>
        </w:rPr>
      </w:pPr>
      <w:r w:rsidRPr="00250D23">
        <w:rPr>
          <w:lang w:val="en-US"/>
        </w:rPr>
        <w:t>Minimum bid for each frequency block: 275 000 euros/MHz = 30 000 euros</w:t>
      </w:r>
    </w:p>
    <w:p w:rsidR="002933A3" w:rsidRPr="00250D23" w:rsidRDefault="002933A3" w:rsidP="00AC1B05">
      <w:pPr>
        <w:spacing w:before="60"/>
        <w:rPr>
          <w:lang w:val="en-US"/>
        </w:rPr>
      </w:pPr>
      <w:r w:rsidRPr="00250D23">
        <w:rPr>
          <w:b/>
          <w:lang w:val="en-US"/>
        </w:rPr>
        <w:t>Final result:</w:t>
      </w:r>
      <w:r w:rsidRPr="00250D23">
        <w:rPr>
          <w:lang w:val="en-US"/>
        </w:rPr>
        <w:t xml:space="preserve"> 226 million euros</w:t>
      </w:r>
    </w:p>
    <w:p w:rsidR="002933A3" w:rsidRPr="00250D23" w:rsidRDefault="002933A3" w:rsidP="00AC1B05">
      <w:pPr>
        <w:spacing w:before="60"/>
        <w:rPr>
          <w:lang w:val="en-US"/>
        </w:rPr>
      </w:pPr>
      <w:r w:rsidRPr="00250D23">
        <w:rPr>
          <w:lang w:val="en-US"/>
        </w:rPr>
        <w:t>Average price/MHz/pop.: 13.17 euros</w:t>
      </w:r>
    </w:p>
    <w:p w:rsidR="002933A3" w:rsidRPr="00250D23" w:rsidRDefault="002933A3" w:rsidP="00AC1B05">
      <w:pPr>
        <w:spacing w:before="60"/>
        <w:rPr>
          <w:lang w:val="en-US"/>
        </w:rPr>
      </w:pPr>
      <w:r w:rsidRPr="00250D23">
        <w:rPr>
          <w:lang w:val="en-US"/>
        </w:rPr>
        <w:t>Newcomer: Intel Capital Corporation (WiMAX mobile)</w:t>
      </w:r>
    </w:p>
    <w:p w:rsidR="0031767B" w:rsidRPr="00250D23" w:rsidRDefault="0031767B">
      <w:pPr>
        <w:spacing w:before="0"/>
        <w:jc w:val="left"/>
        <w:rPr>
          <w:szCs w:val="21"/>
          <w:lang w:val="en-US"/>
        </w:rPr>
      </w:pPr>
      <w:r w:rsidRPr="00250D23">
        <w:rPr>
          <w:szCs w:val="21"/>
          <w:lang w:val="en-US"/>
        </w:rPr>
        <w:br w:type="page"/>
      </w:r>
    </w:p>
    <w:p w:rsidR="002933A3" w:rsidRPr="00250D23" w:rsidRDefault="002933A3" w:rsidP="00AC1B05">
      <w:pPr>
        <w:rPr>
          <w:lang w:val="en-US"/>
        </w:rPr>
      </w:pPr>
      <w:r w:rsidRPr="00250D23">
        <w:rPr>
          <w:lang w:val="en-US"/>
        </w:rPr>
        <w:lastRenderedPageBreak/>
        <w:t>Cf. Qualcomm in May 2008: 10.7 million euros for 17 lots auctioned in the United Kingdom (1 452</w:t>
      </w:r>
      <w:r w:rsidR="00AA1CD3" w:rsidRPr="00250D23">
        <w:rPr>
          <w:lang w:val="en-US"/>
        </w:rPr>
        <w:noBreakHyphen/>
      </w:r>
      <w:r w:rsidRPr="00250D23">
        <w:rPr>
          <w:lang w:val="en-US"/>
        </w:rPr>
        <w:t>1 492 MHz) to develop mobile TV technology (its subsidiary Nextwave sells wireless broadband and mobile TV equipment).</w:t>
      </w:r>
    </w:p>
    <w:p w:rsidR="0031767B" w:rsidRPr="00250D23" w:rsidRDefault="0031767B" w:rsidP="0031767B">
      <w:pPr>
        <w:spacing w:before="0"/>
        <w:rPr>
          <w:sz w:val="4"/>
          <w:szCs w:val="21"/>
          <w:lang w:val="en-US"/>
        </w:rPr>
      </w:pPr>
    </w:p>
    <w:p w:rsidR="004D6E14" w:rsidRPr="00AF4080" w:rsidRDefault="0031767B" w:rsidP="0031767B">
      <w:pPr>
        <w:pStyle w:val="Figure"/>
        <w:spacing w:before="0"/>
        <w:rPr>
          <w:sz w:val="2"/>
        </w:rPr>
      </w:pPr>
      <w:r>
        <w:object w:dxaOrig="9638" w:dyaOrig="12714">
          <v:shape id="_x0000_i1027" type="#_x0000_t75" style="width:483.05pt;height:635.45pt" o:ole="">
            <v:imagedata r:id="rId17" o:title=""/>
          </v:shape>
          <o:OLEObject Type="Embed" ProgID="Word.Document.12" ShapeID="_x0000_i1027" DrawAspect="Content" ObjectID="_1456057548" r:id="rId18">
            <o:FieldCodes>\s</o:FieldCodes>
          </o:OLEObject>
        </w:object>
      </w:r>
    </w:p>
    <w:p w:rsidR="00AA1CD3" w:rsidRPr="00AF4080" w:rsidRDefault="00AA1CD3" w:rsidP="00AF4080">
      <w:pPr>
        <w:spacing w:before="0"/>
        <w:rPr>
          <w:sz w:val="2"/>
          <w:szCs w:val="21"/>
        </w:rPr>
      </w:pPr>
    </w:p>
    <w:p w:rsidR="002933A3" w:rsidRPr="002933A3" w:rsidRDefault="002933A3" w:rsidP="004D6E14">
      <w:pPr>
        <w:pStyle w:val="Heading2"/>
      </w:pPr>
      <w:bookmarkStart w:id="17" w:name="_Toc380408289"/>
      <w:bookmarkStart w:id="18" w:name="_Toc272756444"/>
      <w:r w:rsidRPr="002933A3">
        <w:lastRenderedPageBreak/>
        <w:t>2.4</w:t>
      </w:r>
      <w:r w:rsidRPr="002933A3">
        <w:tab/>
        <w:t>Case Study of Egypt: 3G Auction</w:t>
      </w:r>
      <w:bookmarkEnd w:id="17"/>
    </w:p>
    <w:bookmarkEnd w:id="18"/>
    <w:p w:rsidR="002933A3" w:rsidRPr="002933A3" w:rsidRDefault="002933A3" w:rsidP="002933A3">
      <w:pPr>
        <w:autoSpaceDE w:val="0"/>
        <w:autoSpaceDN w:val="0"/>
        <w:adjustRightInd w:val="0"/>
        <w:rPr>
          <w:szCs w:val="21"/>
          <w:lang w:val="en-GB"/>
        </w:rPr>
      </w:pPr>
      <w:r w:rsidRPr="002933A3">
        <w:rPr>
          <w:szCs w:val="21"/>
          <w:lang w:val="en-GB"/>
        </w:rPr>
        <w:t xml:space="preserve">In April 2006, The National Telecom Regulatory Authority (NTRA) </w:t>
      </w:r>
      <w:r w:rsidRPr="00250D23">
        <w:rPr>
          <w:szCs w:val="21"/>
          <w:lang w:val="en-US"/>
        </w:rPr>
        <w:t>o</w:t>
      </w:r>
      <w:r w:rsidRPr="002933A3">
        <w:rPr>
          <w:szCs w:val="21"/>
          <w:lang w:val="en-GB"/>
        </w:rPr>
        <w:t>F Egypt announced a request for proposal (RFP) for the international auction for awarding a license to operate a 3rd mobile network in Egypt using 2G/3G technologies. In response to this RFP, the NTRA received 11 bids from national and international companies.</w:t>
      </w:r>
    </w:p>
    <w:p w:rsidR="002933A3" w:rsidRPr="002933A3" w:rsidRDefault="004D6E14" w:rsidP="004D6E14">
      <w:pPr>
        <w:pStyle w:val="Heading1"/>
        <w:rPr>
          <w:rFonts w:cs="Times New Roman"/>
        </w:rPr>
      </w:pPr>
      <w:bookmarkStart w:id="19" w:name="_Toc380408290"/>
      <w:r>
        <w:t>I.</w:t>
      </w:r>
      <w:r>
        <w:tab/>
      </w:r>
      <w:r w:rsidR="002933A3" w:rsidRPr="002933A3">
        <w:t>Fees</w:t>
      </w:r>
      <w:bookmarkEnd w:id="19"/>
    </w:p>
    <w:p w:rsidR="002933A3" w:rsidRPr="002933A3" w:rsidRDefault="002933A3" w:rsidP="004D6E14">
      <w:pPr>
        <w:pStyle w:val="Heading4"/>
      </w:pPr>
      <w:bookmarkStart w:id="20" w:name="_Toc125788180"/>
      <w:r w:rsidRPr="002933A3">
        <w:t xml:space="preserve">One Time </w:t>
      </w:r>
      <w:bookmarkEnd w:id="20"/>
      <w:r w:rsidRPr="002933A3">
        <w:t>Fee Upfront Royalty</w:t>
      </w:r>
    </w:p>
    <w:p w:rsidR="002933A3" w:rsidRPr="00250D23" w:rsidRDefault="002933A3" w:rsidP="002933A3">
      <w:pPr>
        <w:snapToGrid w:val="0"/>
        <w:rPr>
          <w:szCs w:val="21"/>
          <w:lang w:val="en-US"/>
        </w:rPr>
      </w:pPr>
      <w:r w:rsidRPr="002933A3">
        <w:rPr>
          <w:szCs w:val="21"/>
          <w:lang w:val="en-GB"/>
        </w:rPr>
        <w:t>The Licensee was required to pay an upfront royalty for the issuance of the License (2.5 Billion Egyptian Pounds</w:t>
      </w:r>
      <w:r w:rsidRPr="002933A3">
        <w:rPr>
          <w:rStyle w:val="FootnoteReference"/>
          <w:szCs w:val="21"/>
        </w:rPr>
        <w:footnoteReference w:id="2"/>
      </w:r>
      <w:r w:rsidRPr="002933A3">
        <w:rPr>
          <w:szCs w:val="21"/>
          <w:lang w:val="en-GB"/>
        </w:rPr>
        <w:t>), referred to as the base upfront royalty. 20% of the upfront royalty represents the 3G component of the License, and the remaining 80% represents the 2G component. In consideration of the upfront royalty payment, the successful Bidder would be entitled to the following:</w:t>
      </w:r>
    </w:p>
    <w:p w:rsidR="002933A3" w:rsidRPr="002933A3" w:rsidRDefault="004D6E14" w:rsidP="004D6E14">
      <w:pPr>
        <w:pStyle w:val="Enumlevel1"/>
      </w:pPr>
      <w:r>
        <w:t>–</w:t>
      </w:r>
      <w:r>
        <w:tab/>
      </w:r>
      <w:r w:rsidR="002933A3" w:rsidRPr="002933A3">
        <w:t xml:space="preserve">Allocation of frequency bands </w:t>
      </w:r>
    </w:p>
    <w:p w:rsidR="002933A3" w:rsidRPr="002933A3" w:rsidRDefault="004D6E14" w:rsidP="004D6E14">
      <w:pPr>
        <w:pStyle w:val="Enumlevel1"/>
      </w:pPr>
      <w:r>
        <w:t>–</w:t>
      </w:r>
      <w:r>
        <w:tab/>
      </w:r>
      <w:r w:rsidR="002933A3" w:rsidRPr="002933A3">
        <w:t>Two million number assignments free of charge for the initial term of the License.</w:t>
      </w:r>
    </w:p>
    <w:p w:rsidR="002933A3" w:rsidRPr="002933A3" w:rsidRDefault="004D6E14" w:rsidP="004D6E14">
      <w:pPr>
        <w:pStyle w:val="Enumlevel1"/>
      </w:pPr>
      <w:r>
        <w:t>–</w:t>
      </w:r>
      <w:r>
        <w:tab/>
      </w:r>
      <w:r w:rsidR="002933A3" w:rsidRPr="002933A3">
        <w:t>Free access to available network code allocations, for the initial term of the License.</w:t>
      </w:r>
    </w:p>
    <w:p w:rsidR="002933A3" w:rsidRPr="00250D23" w:rsidRDefault="004D6E14" w:rsidP="002933A3">
      <w:pPr>
        <w:snapToGrid w:val="0"/>
        <w:rPr>
          <w:szCs w:val="21"/>
          <w:lang w:val="en-US"/>
        </w:rPr>
      </w:pPr>
      <w:r>
        <w:rPr>
          <w:szCs w:val="21"/>
          <w:lang w:val="en-GB"/>
        </w:rPr>
        <w:t>–</w:t>
      </w:r>
      <w:r>
        <w:rPr>
          <w:szCs w:val="21"/>
          <w:lang w:val="en-GB"/>
        </w:rPr>
        <w:tab/>
      </w:r>
      <w:r w:rsidR="002933A3" w:rsidRPr="002933A3">
        <w:rPr>
          <w:szCs w:val="21"/>
          <w:lang w:val="en-GB"/>
        </w:rPr>
        <w:t>The recurring fees payable by the Licensee are as follows:</w:t>
      </w:r>
    </w:p>
    <w:p w:rsidR="002933A3" w:rsidRPr="002933A3" w:rsidRDefault="004D6E14" w:rsidP="004D6E14">
      <w:pPr>
        <w:pStyle w:val="HeadingB"/>
      </w:pPr>
      <w:bookmarkStart w:id="21" w:name="_Toc125788181"/>
      <w:r>
        <w:rPr>
          <w:rFonts w:ascii="Times New Roman" w:hAnsi="Times New Roman"/>
        </w:rPr>
        <w:t>•</w:t>
      </w:r>
      <w:r>
        <w:tab/>
      </w:r>
      <w:r w:rsidR="002933A3" w:rsidRPr="002933A3">
        <w:t>Annual Royalty</w:t>
      </w:r>
      <w:bookmarkEnd w:id="21"/>
    </w:p>
    <w:p w:rsidR="002933A3" w:rsidRPr="00250D23" w:rsidRDefault="002933A3" w:rsidP="002933A3">
      <w:pPr>
        <w:rPr>
          <w:szCs w:val="21"/>
          <w:lang w:val="en-US"/>
        </w:rPr>
      </w:pPr>
      <w:r w:rsidRPr="002933A3">
        <w:rPr>
          <w:szCs w:val="21"/>
          <w:lang w:val="en-GB"/>
        </w:rPr>
        <w:t>In addition to the upfront royalty referenced above, the successful bidder is required to pay, on an annual basis, a percentage of its gross revenues (3%), referred to as the base annual royalty, which rises by 0.2 per cent for each 100 million Egyptian Pounds increase in the bid value up to a cap of 6%. 40% of the annual royalty represents the 3G component of the License, and the remaining 60% represents the 2G component.</w:t>
      </w:r>
    </w:p>
    <w:p w:rsidR="002933A3" w:rsidRPr="004D6E14" w:rsidRDefault="004D6E14" w:rsidP="004D6E14">
      <w:pPr>
        <w:pStyle w:val="HeadingB"/>
      </w:pPr>
      <w:bookmarkStart w:id="22" w:name="_Toc125788182"/>
      <w:r>
        <w:rPr>
          <w:rFonts w:ascii="Times New Roman" w:hAnsi="Times New Roman"/>
        </w:rPr>
        <w:t>•</w:t>
      </w:r>
      <w:r>
        <w:tab/>
      </w:r>
      <w:r w:rsidR="002933A3" w:rsidRPr="004D6E14">
        <w:t>Annual License Fees</w:t>
      </w:r>
      <w:bookmarkEnd w:id="22"/>
    </w:p>
    <w:p w:rsidR="002933A3" w:rsidRPr="00250D23" w:rsidRDefault="002933A3" w:rsidP="002933A3">
      <w:pPr>
        <w:rPr>
          <w:szCs w:val="21"/>
          <w:lang w:val="en-US"/>
        </w:rPr>
      </w:pPr>
      <w:r w:rsidRPr="002933A3">
        <w:rPr>
          <w:szCs w:val="21"/>
          <w:lang w:val="en-GB"/>
        </w:rPr>
        <w:t>An annual License fee of L.E. 22,000,000 (twenty two million Egyptian Pounds) (subject to the Egyptian Annual Inflation rate and prorated for the first year) is to be paid not later than 30 days after the effective date of the License and then annually on the first business day of each calendar year over the term of the License.</w:t>
      </w:r>
    </w:p>
    <w:p w:rsidR="002933A3" w:rsidRPr="004D6E14" w:rsidRDefault="004D6E14" w:rsidP="004D6E14">
      <w:pPr>
        <w:pStyle w:val="HeadingB"/>
      </w:pPr>
      <w:bookmarkStart w:id="23" w:name="_Toc125788183"/>
      <w:r>
        <w:rPr>
          <w:rFonts w:ascii="Times New Roman" w:hAnsi="Times New Roman"/>
        </w:rPr>
        <w:t>•</w:t>
      </w:r>
      <w:r>
        <w:tab/>
      </w:r>
      <w:r w:rsidR="002933A3" w:rsidRPr="004D6E14">
        <w:t>Radio Frequency Usage Fees</w:t>
      </w:r>
      <w:bookmarkEnd w:id="23"/>
    </w:p>
    <w:p w:rsidR="002933A3" w:rsidRPr="002933A3" w:rsidRDefault="004D6E14" w:rsidP="004D6E14">
      <w:pPr>
        <w:pStyle w:val="Enumlevel1"/>
        <w:rPr>
          <w:bCs/>
        </w:rPr>
      </w:pPr>
      <w:r>
        <w:t>–</w:t>
      </w:r>
      <w:r>
        <w:tab/>
      </w:r>
      <w:r w:rsidR="002933A3" w:rsidRPr="002933A3">
        <w:t>Annual fees of 200,000 L.E. /MHz for assignments in the 800 MHz band.</w:t>
      </w:r>
    </w:p>
    <w:p w:rsidR="002933A3" w:rsidRPr="002933A3" w:rsidRDefault="004D6E14" w:rsidP="004D6E14">
      <w:pPr>
        <w:pStyle w:val="Enumlevel1"/>
        <w:rPr>
          <w:bCs/>
        </w:rPr>
      </w:pPr>
      <w:r>
        <w:t>–</w:t>
      </w:r>
      <w:r>
        <w:tab/>
      </w:r>
      <w:r w:rsidR="002933A3" w:rsidRPr="002933A3">
        <w:t>Annual fees of 200,000 L.E. /MHz for assignments in the 900 MHz band.</w:t>
      </w:r>
    </w:p>
    <w:p w:rsidR="002933A3" w:rsidRPr="002933A3" w:rsidRDefault="004D6E14" w:rsidP="004D6E14">
      <w:pPr>
        <w:pStyle w:val="Enumlevel1"/>
        <w:rPr>
          <w:bCs/>
        </w:rPr>
      </w:pPr>
      <w:r>
        <w:t>–</w:t>
      </w:r>
      <w:r>
        <w:tab/>
      </w:r>
      <w:r w:rsidR="002933A3" w:rsidRPr="002933A3">
        <w:t>Annual fees of 100,000 L.E. /MHz for assignments in the 1800 MHz band.</w:t>
      </w:r>
    </w:p>
    <w:p w:rsidR="002933A3" w:rsidRPr="002933A3" w:rsidRDefault="004D6E14" w:rsidP="004D6E14">
      <w:pPr>
        <w:pStyle w:val="Enumlevel1"/>
        <w:rPr>
          <w:bCs/>
        </w:rPr>
      </w:pPr>
      <w:r>
        <w:t>–</w:t>
      </w:r>
      <w:r>
        <w:tab/>
      </w:r>
      <w:r w:rsidR="002933A3" w:rsidRPr="002933A3">
        <w:t>Annual fees of 100,000 L.E. /MHz for assignments in the 1.9 GHz/2.1 GHz band</w:t>
      </w:r>
    </w:p>
    <w:p w:rsidR="00AF4080" w:rsidRDefault="00AF4080">
      <w:pPr>
        <w:spacing w:before="0"/>
        <w:jc w:val="left"/>
        <w:rPr>
          <w:rFonts w:eastAsia="Times New Roman" w:cs="Helvetica"/>
          <w:b/>
          <w:bCs/>
          <w:color w:val="005173"/>
          <w:sz w:val="28"/>
          <w:szCs w:val="28"/>
          <w:lang w:val="en-US"/>
        </w:rPr>
      </w:pPr>
      <w:r w:rsidRPr="00250D23">
        <w:rPr>
          <w:lang w:val="en-US"/>
        </w:rPr>
        <w:br w:type="page"/>
      </w:r>
    </w:p>
    <w:p w:rsidR="002933A3" w:rsidRPr="004D6E14" w:rsidRDefault="004D6E14" w:rsidP="004D6E14">
      <w:pPr>
        <w:pStyle w:val="Heading1"/>
        <w:rPr>
          <w:szCs w:val="21"/>
        </w:rPr>
      </w:pPr>
      <w:bookmarkStart w:id="24" w:name="_Toc380408291"/>
      <w:r w:rsidRPr="004D6E14">
        <w:lastRenderedPageBreak/>
        <w:t>II.</w:t>
      </w:r>
      <w:r w:rsidRPr="004D6E14">
        <w:tab/>
      </w:r>
      <w:r w:rsidR="002933A3" w:rsidRPr="004D6E14">
        <w:rPr>
          <w:szCs w:val="21"/>
        </w:rPr>
        <w:t>Frequency Bands</w:t>
      </w:r>
      <w:bookmarkEnd w:id="24"/>
    </w:p>
    <w:p w:rsidR="002933A3" w:rsidRPr="00250D23" w:rsidRDefault="002933A3" w:rsidP="002933A3">
      <w:pPr>
        <w:rPr>
          <w:szCs w:val="21"/>
          <w:lang w:val="en-US"/>
        </w:rPr>
      </w:pPr>
      <w:r w:rsidRPr="002933A3">
        <w:rPr>
          <w:szCs w:val="21"/>
          <w:lang w:val="en-GB"/>
        </w:rPr>
        <w:t>The Bidder should choose from the following mobile frequency bands assigned by the NTRA on a National basis in Egypt:</w:t>
      </w:r>
    </w:p>
    <w:p w:rsidR="002933A3" w:rsidRPr="002933A3" w:rsidRDefault="004D6E14" w:rsidP="004D6E14">
      <w:pPr>
        <w:pStyle w:val="HeadingB"/>
      </w:pPr>
      <w:r>
        <w:rPr>
          <w:rFonts w:ascii="Times New Roman" w:hAnsi="Times New Roman"/>
        </w:rPr>
        <w:t>•</w:t>
      </w:r>
      <w:r>
        <w:tab/>
      </w:r>
      <w:r w:rsidR="002933A3" w:rsidRPr="002933A3">
        <w:t>GSM Services</w:t>
      </w:r>
    </w:p>
    <w:p w:rsidR="002933A3" w:rsidRPr="002933A3" w:rsidRDefault="002933A3" w:rsidP="002933A3">
      <w:pPr>
        <w:rPr>
          <w:szCs w:val="21"/>
          <w:lang w:val="en-GB"/>
        </w:rPr>
      </w:pPr>
      <w:r w:rsidRPr="002933A3">
        <w:rPr>
          <w:szCs w:val="21"/>
          <w:lang w:val="en-GB"/>
        </w:rPr>
        <w:t>2 x 5 MHz Bandwidth within the 900 MHz band (880-885 MHz / 925-930 MHz)</w:t>
      </w:r>
    </w:p>
    <w:p w:rsidR="002933A3" w:rsidRPr="002933A3" w:rsidRDefault="002933A3" w:rsidP="002933A3">
      <w:pPr>
        <w:rPr>
          <w:szCs w:val="21"/>
          <w:lang w:val="en-GB"/>
        </w:rPr>
      </w:pPr>
      <w:r w:rsidRPr="002933A3">
        <w:rPr>
          <w:szCs w:val="21"/>
          <w:lang w:val="en-GB"/>
        </w:rPr>
        <w:t>2 x 5 MHz Bandwidth within the 1800 MHz band (1710-1715 MHz/1805-1810 MHz)</w:t>
      </w:r>
    </w:p>
    <w:p w:rsidR="002933A3" w:rsidRPr="004D6E14" w:rsidRDefault="004D6E14" w:rsidP="004D6E14">
      <w:pPr>
        <w:pStyle w:val="HeadingB"/>
      </w:pPr>
      <w:r>
        <w:rPr>
          <w:rFonts w:ascii="Times New Roman" w:hAnsi="Times New Roman"/>
        </w:rPr>
        <w:t>•</w:t>
      </w:r>
      <w:r>
        <w:tab/>
      </w:r>
      <w:r w:rsidR="002933A3" w:rsidRPr="004D6E14">
        <w:t>CDMA2000_1x Services</w:t>
      </w:r>
    </w:p>
    <w:p w:rsidR="002933A3" w:rsidRPr="00250D23" w:rsidRDefault="002933A3" w:rsidP="002933A3">
      <w:pPr>
        <w:rPr>
          <w:szCs w:val="21"/>
          <w:lang w:val="en-US"/>
        </w:rPr>
      </w:pPr>
      <w:r w:rsidRPr="002933A3">
        <w:rPr>
          <w:szCs w:val="21"/>
          <w:lang w:val="en-GB"/>
        </w:rPr>
        <w:t>2 x 5 MHz Bandwidth within the 800 MHz band (835-840 MHz / 880-885 MHz)</w:t>
      </w:r>
    </w:p>
    <w:p w:rsidR="002933A3" w:rsidRPr="004D6E14" w:rsidRDefault="004D6E14" w:rsidP="004D6E14">
      <w:pPr>
        <w:pStyle w:val="HeadingB"/>
      </w:pPr>
      <w:r>
        <w:rPr>
          <w:rFonts w:ascii="Times New Roman" w:hAnsi="Times New Roman"/>
        </w:rPr>
        <w:t>•</w:t>
      </w:r>
      <w:r>
        <w:tab/>
      </w:r>
      <w:r w:rsidR="002933A3" w:rsidRPr="004D6E14">
        <w:t>IMT2000 (WCDMA OR CDMA 2000_1x EV-DO) Services</w:t>
      </w:r>
    </w:p>
    <w:p w:rsidR="002933A3" w:rsidRPr="002933A3" w:rsidRDefault="002933A3" w:rsidP="002933A3">
      <w:pPr>
        <w:rPr>
          <w:szCs w:val="21"/>
          <w:lang w:val="en-GB"/>
        </w:rPr>
      </w:pPr>
      <w:r w:rsidRPr="002933A3">
        <w:rPr>
          <w:szCs w:val="21"/>
          <w:lang w:val="en-GB"/>
        </w:rPr>
        <w:t>2 x 10 MHz bandwidth within the 2 GHz band (1920-1930 MHz / 2110-2120 MHz)</w:t>
      </w:r>
    </w:p>
    <w:p w:rsidR="002933A3" w:rsidRPr="004D6E14" w:rsidRDefault="004D6E14" w:rsidP="004D6E14">
      <w:pPr>
        <w:pStyle w:val="HeadingB"/>
      </w:pPr>
      <w:r>
        <w:rPr>
          <w:rFonts w:ascii="Times New Roman" w:hAnsi="Times New Roman"/>
        </w:rPr>
        <w:t>•</w:t>
      </w:r>
      <w:r>
        <w:tab/>
      </w:r>
      <w:r w:rsidR="002933A3" w:rsidRPr="004D6E14">
        <w:t>Bidders shall be permitted to request and combine frequencies as follows:</w:t>
      </w:r>
    </w:p>
    <w:p w:rsidR="002933A3" w:rsidRPr="002933A3" w:rsidRDefault="002933A3" w:rsidP="004D6E14">
      <w:pPr>
        <w:pStyle w:val="HeadingB"/>
      </w:pPr>
      <w:r w:rsidRPr="002933A3">
        <w:t>Option 1:</w:t>
      </w:r>
    </w:p>
    <w:p w:rsidR="002933A3" w:rsidRPr="002933A3" w:rsidRDefault="002933A3" w:rsidP="004D6E14">
      <w:pPr>
        <w:rPr>
          <w:szCs w:val="21"/>
          <w:lang w:val="en-GB"/>
        </w:rPr>
      </w:pPr>
      <w:r w:rsidRPr="002933A3">
        <w:rPr>
          <w:szCs w:val="21"/>
          <w:lang w:val="en-GB"/>
        </w:rPr>
        <w:t>2 x 5 MHz in the 900 MHz bands plus an additional 2 X 5 MHz in the 1800 MHz band plus an additional 2</w:t>
      </w:r>
      <w:r w:rsidR="004D6E14">
        <w:rPr>
          <w:szCs w:val="21"/>
          <w:lang w:val="en-GB"/>
        </w:rPr>
        <w:t> </w:t>
      </w:r>
      <w:r w:rsidRPr="002933A3">
        <w:rPr>
          <w:szCs w:val="21"/>
          <w:lang w:val="en-GB"/>
        </w:rPr>
        <w:t>X</w:t>
      </w:r>
      <w:r w:rsidR="004D6E14">
        <w:rPr>
          <w:szCs w:val="21"/>
          <w:lang w:val="en-GB"/>
        </w:rPr>
        <w:t> </w:t>
      </w:r>
      <w:r w:rsidRPr="002933A3">
        <w:rPr>
          <w:szCs w:val="21"/>
          <w:lang w:val="en-GB"/>
        </w:rPr>
        <w:t>10</w:t>
      </w:r>
      <w:r w:rsidR="004D6E14">
        <w:rPr>
          <w:szCs w:val="21"/>
          <w:lang w:val="en-GB"/>
        </w:rPr>
        <w:t> </w:t>
      </w:r>
      <w:r w:rsidRPr="002933A3">
        <w:rPr>
          <w:szCs w:val="21"/>
          <w:lang w:val="en-GB"/>
        </w:rPr>
        <w:t>MHz in the 2 GHz band</w:t>
      </w:r>
    </w:p>
    <w:p w:rsidR="002933A3" w:rsidRPr="002933A3" w:rsidRDefault="002933A3" w:rsidP="004D6E14">
      <w:pPr>
        <w:pStyle w:val="HeadingB"/>
      </w:pPr>
      <w:r w:rsidRPr="002933A3">
        <w:t>Option 2:</w:t>
      </w:r>
    </w:p>
    <w:p w:rsidR="002933A3" w:rsidRPr="002933A3" w:rsidRDefault="002933A3" w:rsidP="002933A3">
      <w:pPr>
        <w:rPr>
          <w:szCs w:val="21"/>
          <w:lang w:val="en-GB"/>
        </w:rPr>
      </w:pPr>
      <w:r w:rsidRPr="002933A3">
        <w:rPr>
          <w:szCs w:val="21"/>
          <w:lang w:val="en-GB"/>
        </w:rPr>
        <w:t>2 x 5 MHz in the 800 MHz band plus an additional 2 X10 MHz in the 2 GHz band</w:t>
      </w:r>
    </w:p>
    <w:p w:rsidR="002933A3" w:rsidRPr="004D6E14" w:rsidRDefault="004D6E14" w:rsidP="004D6E14">
      <w:pPr>
        <w:pStyle w:val="HeadingB"/>
      </w:pPr>
      <w:r>
        <w:rPr>
          <w:rFonts w:ascii="Times New Roman" w:hAnsi="Times New Roman"/>
        </w:rPr>
        <w:t>•</w:t>
      </w:r>
      <w:r>
        <w:rPr>
          <w:rFonts w:ascii="Times New Roman" w:hAnsi="Times New Roman"/>
        </w:rPr>
        <w:tab/>
      </w:r>
      <w:r w:rsidR="002933A3" w:rsidRPr="004D6E14">
        <w:t>Coverage and Rollout Plans</w:t>
      </w:r>
    </w:p>
    <w:p w:rsidR="002933A3" w:rsidRPr="002933A3" w:rsidRDefault="002933A3" w:rsidP="004D6E14">
      <w:pPr>
        <w:rPr>
          <w:lang w:val="en-GB"/>
        </w:rPr>
      </w:pPr>
      <w:r w:rsidRPr="002933A3">
        <w:rPr>
          <w:lang w:val="en-GB"/>
        </w:rPr>
        <w:t>The rollout plan shall address the following general requirements:</w:t>
      </w:r>
    </w:p>
    <w:p w:rsidR="002933A3" w:rsidRPr="002933A3" w:rsidRDefault="004D6E14" w:rsidP="004D6E14">
      <w:pPr>
        <w:pStyle w:val="Enumlevel1"/>
      </w:pPr>
      <w:r>
        <w:t>1)</w:t>
      </w:r>
      <w:r>
        <w:tab/>
      </w:r>
      <w:r w:rsidR="002933A3" w:rsidRPr="002933A3">
        <w:t xml:space="preserve">Ultimately, at least </w:t>
      </w:r>
      <w:r w:rsidR="002933A3" w:rsidRPr="002933A3">
        <w:rPr>
          <w:u w:val="single"/>
        </w:rPr>
        <w:t>85% of the populated areas</w:t>
      </w:r>
      <w:r w:rsidR="002933A3" w:rsidRPr="002933A3">
        <w:t xml:space="preserve"> in all Governorates of Egypt shall be covered with Class (1) services</w:t>
      </w:r>
      <w:r w:rsidR="002933A3" w:rsidRPr="002933A3">
        <w:rPr>
          <w:rStyle w:val="FootnoteReference"/>
        </w:rPr>
        <w:footnoteReference w:id="3"/>
      </w:r>
      <w:r w:rsidR="002933A3" w:rsidRPr="002933A3">
        <w:t xml:space="preserve"> by the end of the </w:t>
      </w:r>
      <w:r w:rsidR="002933A3" w:rsidRPr="002933A3">
        <w:rPr>
          <w:u w:val="single"/>
        </w:rPr>
        <w:t>third year</w:t>
      </w:r>
      <w:r w:rsidR="002933A3" w:rsidRPr="002933A3">
        <w:t xml:space="preserve"> following the effective date of the License. </w:t>
      </w:r>
    </w:p>
    <w:p w:rsidR="002933A3" w:rsidRPr="002933A3" w:rsidRDefault="004D6E14" w:rsidP="004D6E14">
      <w:pPr>
        <w:pStyle w:val="Enumlevel1"/>
      </w:pPr>
      <w:r>
        <w:t>2)</w:t>
      </w:r>
      <w:r>
        <w:tab/>
      </w:r>
      <w:r w:rsidR="002933A3" w:rsidRPr="002933A3">
        <w:t>Coverage for Class (2) services</w:t>
      </w:r>
      <w:r w:rsidR="002933A3" w:rsidRPr="002933A3">
        <w:rPr>
          <w:rStyle w:val="FootnoteReference"/>
        </w:rPr>
        <w:footnoteReference w:id="4"/>
      </w:r>
      <w:r w:rsidR="002933A3" w:rsidRPr="002933A3">
        <w:t xml:space="preserve"> shall be in accordance with or exceeds the minimum rollout plan requirements described below.</w:t>
      </w:r>
      <w:r w:rsidR="0059184A">
        <w:t xml:space="preserve"> </w:t>
      </w:r>
      <w:r w:rsidR="002933A3" w:rsidRPr="002933A3">
        <w:t xml:space="preserve">By the end of the fifth year following the effective date of the License, at least </w:t>
      </w:r>
      <w:r w:rsidR="002933A3" w:rsidRPr="002933A3">
        <w:rPr>
          <w:u w:val="single"/>
        </w:rPr>
        <w:t>85% of the populated areas</w:t>
      </w:r>
      <w:r w:rsidR="002933A3" w:rsidRPr="002933A3">
        <w:t xml:space="preserve"> in Egypt shall be covered with Class (2) services. </w:t>
      </w:r>
    </w:p>
    <w:p w:rsidR="002933A3" w:rsidRPr="002933A3" w:rsidRDefault="002933A3" w:rsidP="002933A3">
      <w:pPr>
        <w:rPr>
          <w:szCs w:val="21"/>
          <w:lang w:val="en-GB"/>
        </w:rPr>
      </w:pPr>
      <w:r w:rsidRPr="002933A3">
        <w:rPr>
          <w:szCs w:val="21"/>
          <w:lang w:val="en-GB"/>
        </w:rPr>
        <w:t>Launch of commercial services for both sets should not be later than six months from the effective date of the License.</w:t>
      </w:r>
    </w:p>
    <w:p w:rsidR="002933A3" w:rsidRPr="004D6E14" w:rsidRDefault="004D6E14" w:rsidP="004D6E14">
      <w:pPr>
        <w:pStyle w:val="Heading1"/>
      </w:pPr>
      <w:bookmarkStart w:id="25" w:name="_Toc380408292"/>
      <w:r>
        <w:lastRenderedPageBreak/>
        <w:t>III.</w:t>
      </w:r>
      <w:r>
        <w:tab/>
      </w:r>
      <w:r w:rsidR="002933A3" w:rsidRPr="004D6E14">
        <w:t>Evaluation of Bids</w:t>
      </w:r>
      <w:bookmarkEnd w:id="25"/>
    </w:p>
    <w:p w:rsidR="002933A3" w:rsidRPr="002933A3" w:rsidRDefault="002933A3" w:rsidP="004D6E14">
      <w:pPr>
        <w:pStyle w:val="HeadingB"/>
      </w:pPr>
      <w:bookmarkStart w:id="26" w:name="_Toc78572145"/>
      <w:bookmarkStart w:id="27" w:name="_Toc78572555"/>
      <w:bookmarkEnd w:id="26"/>
      <w:bookmarkEnd w:id="27"/>
      <w:r w:rsidRPr="002933A3">
        <w:t xml:space="preserve">Technical Evaluation Process and Criteria (Phase 1) </w:t>
      </w:r>
    </w:p>
    <w:p w:rsidR="002933A3" w:rsidRPr="002933A3" w:rsidRDefault="002933A3" w:rsidP="002933A3">
      <w:pPr>
        <w:spacing w:after="240"/>
        <w:rPr>
          <w:szCs w:val="21"/>
          <w:lang w:val="en-GB"/>
        </w:rPr>
      </w:pPr>
      <w:r w:rsidRPr="002933A3">
        <w:rPr>
          <w:szCs w:val="21"/>
          <w:lang w:val="en-GB"/>
        </w:rPr>
        <w:t>A proposal is technically unqualified (failed) if its technical score is less than 85% of the technical score of the top ranked proposal and is considered rejected accordingly. Also for a proposal to be technically qualified, its score must be above 700/1000 points.</w:t>
      </w:r>
    </w:p>
    <w:tbl>
      <w:tblPr>
        <w:tblStyle w:val="TableGrid"/>
        <w:tblW w:w="9072" w:type="dxa"/>
        <w:jc w:val="center"/>
        <w:tblLook w:val="04A0" w:firstRow="1" w:lastRow="0" w:firstColumn="1" w:lastColumn="0" w:noHBand="0" w:noVBand="1"/>
      </w:tblPr>
      <w:tblGrid>
        <w:gridCol w:w="7806"/>
        <w:gridCol w:w="1266"/>
      </w:tblGrid>
      <w:tr w:rsidR="002933A3" w:rsidRPr="002933A3" w:rsidTr="000838A3">
        <w:trPr>
          <w:jc w:val="center"/>
        </w:trPr>
        <w:tc>
          <w:tcPr>
            <w:tcW w:w="7326" w:type="dxa"/>
            <w:tcBorders>
              <w:top w:val="single" w:sz="4" w:space="0" w:color="auto"/>
              <w:left w:val="single" w:sz="4" w:space="0" w:color="auto"/>
              <w:bottom w:val="single" w:sz="4" w:space="0" w:color="auto"/>
              <w:right w:val="single" w:sz="4" w:space="0" w:color="auto"/>
            </w:tcBorders>
            <w:shd w:val="clear" w:color="auto" w:fill="005173"/>
            <w:hideMark/>
          </w:tcPr>
          <w:p w:rsidR="002933A3" w:rsidRPr="002933A3" w:rsidRDefault="002933A3" w:rsidP="000838A3">
            <w:pPr>
              <w:pStyle w:val="Tablehead"/>
            </w:pPr>
            <w:r w:rsidRPr="002933A3">
              <w:t>Criterion</w:t>
            </w:r>
          </w:p>
        </w:tc>
        <w:tc>
          <w:tcPr>
            <w:tcW w:w="1188" w:type="dxa"/>
            <w:tcBorders>
              <w:top w:val="single" w:sz="4" w:space="0" w:color="auto"/>
              <w:left w:val="single" w:sz="4" w:space="0" w:color="auto"/>
              <w:bottom w:val="single" w:sz="4" w:space="0" w:color="auto"/>
              <w:right w:val="single" w:sz="4" w:space="0" w:color="auto"/>
            </w:tcBorders>
            <w:shd w:val="clear" w:color="auto" w:fill="005173"/>
            <w:hideMark/>
          </w:tcPr>
          <w:p w:rsidR="002933A3" w:rsidRPr="002933A3" w:rsidRDefault="002933A3" w:rsidP="000838A3">
            <w:pPr>
              <w:pStyle w:val="Tablehead"/>
            </w:pPr>
            <w:r w:rsidRPr="002933A3">
              <w:t>Score</w:t>
            </w:r>
          </w:p>
        </w:tc>
      </w:tr>
      <w:tr w:rsidR="002933A3" w:rsidRPr="002933A3" w:rsidTr="000838A3">
        <w:trPr>
          <w:jc w:val="center"/>
        </w:trPr>
        <w:tc>
          <w:tcPr>
            <w:tcW w:w="7326" w:type="dxa"/>
            <w:tcBorders>
              <w:top w:val="single" w:sz="4" w:space="0" w:color="auto"/>
              <w:left w:val="single" w:sz="4" w:space="0" w:color="auto"/>
              <w:bottom w:val="single" w:sz="4" w:space="0" w:color="auto"/>
              <w:right w:val="single" w:sz="4" w:space="0" w:color="auto"/>
            </w:tcBorders>
            <w:shd w:val="clear" w:color="auto" w:fill="E8F8FD"/>
            <w:hideMark/>
          </w:tcPr>
          <w:p w:rsidR="002933A3" w:rsidRPr="002933A3" w:rsidRDefault="002933A3" w:rsidP="000838A3">
            <w:pPr>
              <w:pStyle w:val="Tabletext"/>
              <w:rPr>
                <w:lang w:val="en-GB"/>
              </w:rPr>
            </w:pPr>
            <w:r w:rsidRPr="002933A3">
              <w:rPr>
                <w:lang w:val="en-GB"/>
              </w:rPr>
              <w:t>Consortium or Company Management, and past experience capabilities</w:t>
            </w:r>
          </w:p>
        </w:tc>
        <w:tc>
          <w:tcPr>
            <w:tcW w:w="1188" w:type="dxa"/>
            <w:tcBorders>
              <w:top w:val="single" w:sz="4" w:space="0" w:color="auto"/>
              <w:left w:val="single" w:sz="4" w:space="0" w:color="auto"/>
              <w:bottom w:val="single" w:sz="4" w:space="0" w:color="auto"/>
              <w:right w:val="single" w:sz="4" w:space="0" w:color="auto"/>
            </w:tcBorders>
            <w:shd w:val="clear" w:color="auto" w:fill="E8F8FD"/>
            <w:hideMark/>
          </w:tcPr>
          <w:p w:rsidR="002933A3" w:rsidRPr="002933A3" w:rsidRDefault="002933A3" w:rsidP="000838A3">
            <w:pPr>
              <w:pStyle w:val="Tabletext"/>
              <w:jc w:val="center"/>
              <w:rPr>
                <w:lang w:val="en-GB"/>
              </w:rPr>
            </w:pPr>
            <w:r w:rsidRPr="002933A3">
              <w:rPr>
                <w:lang w:val="en-GB"/>
              </w:rPr>
              <w:t>225</w:t>
            </w:r>
          </w:p>
        </w:tc>
      </w:tr>
      <w:tr w:rsidR="002933A3" w:rsidRPr="002933A3" w:rsidTr="000838A3">
        <w:trPr>
          <w:jc w:val="center"/>
        </w:trPr>
        <w:tc>
          <w:tcPr>
            <w:tcW w:w="7326" w:type="dxa"/>
            <w:tcBorders>
              <w:top w:val="single" w:sz="4" w:space="0" w:color="auto"/>
              <w:left w:val="single" w:sz="4" w:space="0" w:color="auto"/>
              <w:bottom w:val="single" w:sz="4" w:space="0" w:color="auto"/>
              <w:right w:val="single" w:sz="4" w:space="0" w:color="auto"/>
            </w:tcBorders>
            <w:hideMark/>
          </w:tcPr>
          <w:p w:rsidR="002933A3" w:rsidRPr="002933A3" w:rsidRDefault="002933A3" w:rsidP="000838A3">
            <w:pPr>
              <w:pStyle w:val="Tabletext"/>
              <w:rPr>
                <w:lang w:val="en-GB"/>
              </w:rPr>
            </w:pPr>
            <w:r w:rsidRPr="002933A3">
              <w:rPr>
                <w:lang w:val="en-GB"/>
              </w:rPr>
              <w:t>Consortium or Company Commercial, Economic and Financial Capabilities</w:t>
            </w:r>
          </w:p>
        </w:tc>
        <w:tc>
          <w:tcPr>
            <w:tcW w:w="1188" w:type="dxa"/>
            <w:tcBorders>
              <w:top w:val="single" w:sz="4" w:space="0" w:color="auto"/>
              <w:left w:val="single" w:sz="4" w:space="0" w:color="auto"/>
              <w:bottom w:val="single" w:sz="4" w:space="0" w:color="auto"/>
              <w:right w:val="single" w:sz="4" w:space="0" w:color="auto"/>
            </w:tcBorders>
            <w:hideMark/>
          </w:tcPr>
          <w:p w:rsidR="002933A3" w:rsidRPr="002933A3" w:rsidRDefault="002933A3" w:rsidP="000838A3">
            <w:pPr>
              <w:pStyle w:val="Tabletext"/>
              <w:jc w:val="center"/>
              <w:rPr>
                <w:lang w:val="en-GB"/>
              </w:rPr>
            </w:pPr>
            <w:r w:rsidRPr="002933A3">
              <w:rPr>
                <w:lang w:val="en-GB"/>
              </w:rPr>
              <w:t>225</w:t>
            </w:r>
          </w:p>
        </w:tc>
      </w:tr>
      <w:tr w:rsidR="002933A3" w:rsidRPr="002933A3" w:rsidTr="000838A3">
        <w:trPr>
          <w:jc w:val="center"/>
        </w:trPr>
        <w:tc>
          <w:tcPr>
            <w:tcW w:w="7326" w:type="dxa"/>
            <w:tcBorders>
              <w:top w:val="single" w:sz="4" w:space="0" w:color="auto"/>
              <w:left w:val="single" w:sz="4" w:space="0" w:color="auto"/>
              <w:bottom w:val="single" w:sz="4" w:space="0" w:color="auto"/>
              <w:right w:val="single" w:sz="4" w:space="0" w:color="auto"/>
            </w:tcBorders>
            <w:shd w:val="clear" w:color="auto" w:fill="E8F8FD"/>
            <w:hideMark/>
          </w:tcPr>
          <w:p w:rsidR="002933A3" w:rsidRPr="002933A3" w:rsidRDefault="002933A3" w:rsidP="000838A3">
            <w:pPr>
              <w:pStyle w:val="Tabletext"/>
              <w:rPr>
                <w:lang w:val="en-GB"/>
              </w:rPr>
            </w:pPr>
            <w:r w:rsidRPr="002933A3">
              <w:rPr>
                <w:lang w:val="en-GB"/>
              </w:rPr>
              <w:t>Quality of the Marketing Plan</w:t>
            </w:r>
          </w:p>
        </w:tc>
        <w:tc>
          <w:tcPr>
            <w:tcW w:w="1188" w:type="dxa"/>
            <w:tcBorders>
              <w:top w:val="single" w:sz="4" w:space="0" w:color="auto"/>
              <w:left w:val="single" w:sz="4" w:space="0" w:color="auto"/>
              <w:bottom w:val="single" w:sz="4" w:space="0" w:color="auto"/>
              <w:right w:val="single" w:sz="4" w:space="0" w:color="auto"/>
            </w:tcBorders>
            <w:shd w:val="clear" w:color="auto" w:fill="E8F8FD"/>
            <w:hideMark/>
          </w:tcPr>
          <w:p w:rsidR="002933A3" w:rsidRPr="002933A3" w:rsidRDefault="002933A3" w:rsidP="000838A3">
            <w:pPr>
              <w:pStyle w:val="Tabletext"/>
              <w:jc w:val="center"/>
              <w:rPr>
                <w:lang w:val="en-GB"/>
              </w:rPr>
            </w:pPr>
            <w:r w:rsidRPr="002933A3">
              <w:rPr>
                <w:lang w:val="en-GB"/>
              </w:rPr>
              <w:t>50</w:t>
            </w:r>
          </w:p>
        </w:tc>
      </w:tr>
      <w:tr w:rsidR="002933A3" w:rsidRPr="002933A3" w:rsidTr="000838A3">
        <w:trPr>
          <w:jc w:val="center"/>
        </w:trPr>
        <w:tc>
          <w:tcPr>
            <w:tcW w:w="7326" w:type="dxa"/>
            <w:tcBorders>
              <w:top w:val="single" w:sz="4" w:space="0" w:color="auto"/>
              <w:left w:val="single" w:sz="4" w:space="0" w:color="auto"/>
              <w:bottom w:val="single" w:sz="4" w:space="0" w:color="auto"/>
              <w:right w:val="single" w:sz="4" w:space="0" w:color="auto"/>
            </w:tcBorders>
            <w:hideMark/>
          </w:tcPr>
          <w:p w:rsidR="002933A3" w:rsidRPr="002933A3" w:rsidRDefault="002933A3" w:rsidP="000838A3">
            <w:pPr>
              <w:pStyle w:val="Tabletext"/>
              <w:rPr>
                <w:lang w:val="en-GB"/>
              </w:rPr>
            </w:pPr>
            <w:r w:rsidRPr="002933A3">
              <w:rPr>
                <w:lang w:val="en-GB"/>
              </w:rPr>
              <w:t>Quality and Compliance of the Technical Plan,</w:t>
            </w:r>
            <w:r w:rsidR="0059184A">
              <w:rPr>
                <w:lang w:val="en-GB"/>
              </w:rPr>
              <w:t xml:space="preserve"> </w:t>
            </w:r>
            <w:r w:rsidRPr="002933A3">
              <w:rPr>
                <w:lang w:val="en-GB"/>
              </w:rPr>
              <w:t>Network Launch and Coverage Commitment</w:t>
            </w:r>
          </w:p>
        </w:tc>
        <w:tc>
          <w:tcPr>
            <w:tcW w:w="1188" w:type="dxa"/>
            <w:tcBorders>
              <w:top w:val="single" w:sz="4" w:space="0" w:color="auto"/>
              <w:left w:val="single" w:sz="4" w:space="0" w:color="auto"/>
              <w:bottom w:val="single" w:sz="4" w:space="0" w:color="auto"/>
              <w:right w:val="single" w:sz="4" w:space="0" w:color="auto"/>
            </w:tcBorders>
            <w:hideMark/>
          </w:tcPr>
          <w:p w:rsidR="002933A3" w:rsidRPr="002933A3" w:rsidRDefault="002933A3" w:rsidP="000838A3">
            <w:pPr>
              <w:pStyle w:val="Tabletext"/>
              <w:jc w:val="center"/>
              <w:rPr>
                <w:lang w:val="en-GB"/>
              </w:rPr>
            </w:pPr>
            <w:r w:rsidRPr="002933A3">
              <w:rPr>
                <w:lang w:val="en-GB"/>
              </w:rPr>
              <w:t>250</w:t>
            </w:r>
          </w:p>
        </w:tc>
      </w:tr>
      <w:tr w:rsidR="002933A3" w:rsidRPr="002933A3" w:rsidTr="000838A3">
        <w:trPr>
          <w:jc w:val="center"/>
        </w:trPr>
        <w:tc>
          <w:tcPr>
            <w:tcW w:w="7326" w:type="dxa"/>
            <w:tcBorders>
              <w:top w:val="single" w:sz="4" w:space="0" w:color="auto"/>
              <w:left w:val="single" w:sz="4" w:space="0" w:color="auto"/>
              <w:bottom w:val="single" w:sz="4" w:space="0" w:color="auto"/>
              <w:right w:val="single" w:sz="4" w:space="0" w:color="auto"/>
            </w:tcBorders>
            <w:shd w:val="clear" w:color="auto" w:fill="E8F8FD"/>
            <w:hideMark/>
          </w:tcPr>
          <w:p w:rsidR="002933A3" w:rsidRPr="002933A3" w:rsidRDefault="002933A3" w:rsidP="000838A3">
            <w:pPr>
              <w:pStyle w:val="Tabletext"/>
              <w:rPr>
                <w:lang w:val="en-GB"/>
              </w:rPr>
            </w:pPr>
            <w:r w:rsidRPr="002933A3">
              <w:rPr>
                <w:lang w:val="en-GB"/>
              </w:rPr>
              <w:t>Quality of Customer Care Plan</w:t>
            </w:r>
          </w:p>
        </w:tc>
        <w:tc>
          <w:tcPr>
            <w:tcW w:w="1188" w:type="dxa"/>
            <w:tcBorders>
              <w:top w:val="single" w:sz="4" w:space="0" w:color="auto"/>
              <w:left w:val="single" w:sz="4" w:space="0" w:color="auto"/>
              <w:bottom w:val="single" w:sz="4" w:space="0" w:color="auto"/>
              <w:right w:val="single" w:sz="4" w:space="0" w:color="auto"/>
            </w:tcBorders>
            <w:shd w:val="clear" w:color="auto" w:fill="E8F8FD"/>
            <w:hideMark/>
          </w:tcPr>
          <w:p w:rsidR="002933A3" w:rsidRPr="002933A3" w:rsidRDefault="002933A3" w:rsidP="000838A3">
            <w:pPr>
              <w:pStyle w:val="Tabletext"/>
              <w:jc w:val="center"/>
              <w:rPr>
                <w:lang w:val="en-GB"/>
              </w:rPr>
            </w:pPr>
            <w:r w:rsidRPr="002933A3">
              <w:rPr>
                <w:lang w:val="en-GB"/>
              </w:rPr>
              <w:t>50</w:t>
            </w:r>
          </w:p>
        </w:tc>
      </w:tr>
      <w:tr w:rsidR="002933A3" w:rsidRPr="002933A3" w:rsidTr="000838A3">
        <w:trPr>
          <w:jc w:val="center"/>
        </w:trPr>
        <w:tc>
          <w:tcPr>
            <w:tcW w:w="7326" w:type="dxa"/>
            <w:tcBorders>
              <w:top w:val="single" w:sz="4" w:space="0" w:color="auto"/>
              <w:left w:val="single" w:sz="4" w:space="0" w:color="auto"/>
              <w:bottom w:val="single" w:sz="4" w:space="0" w:color="auto"/>
              <w:right w:val="single" w:sz="4" w:space="0" w:color="auto"/>
            </w:tcBorders>
            <w:hideMark/>
          </w:tcPr>
          <w:p w:rsidR="002933A3" w:rsidRPr="002933A3" w:rsidRDefault="002933A3" w:rsidP="000838A3">
            <w:pPr>
              <w:pStyle w:val="Tabletext"/>
              <w:rPr>
                <w:bCs/>
                <w:lang w:val="en-GB"/>
              </w:rPr>
            </w:pPr>
            <w:bookmarkStart w:id="28" w:name="_Toc80264380"/>
            <w:r w:rsidRPr="002933A3">
              <w:rPr>
                <w:lang w:val="en-GB"/>
              </w:rPr>
              <w:t>Quality of Management and Organizational Structure</w:t>
            </w:r>
            <w:bookmarkEnd w:id="28"/>
          </w:p>
        </w:tc>
        <w:tc>
          <w:tcPr>
            <w:tcW w:w="1188" w:type="dxa"/>
            <w:tcBorders>
              <w:top w:val="single" w:sz="4" w:space="0" w:color="auto"/>
              <w:left w:val="single" w:sz="4" w:space="0" w:color="auto"/>
              <w:bottom w:val="single" w:sz="4" w:space="0" w:color="auto"/>
              <w:right w:val="single" w:sz="4" w:space="0" w:color="auto"/>
            </w:tcBorders>
            <w:hideMark/>
          </w:tcPr>
          <w:p w:rsidR="002933A3" w:rsidRPr="002933A3" w:rsidRDefault="002933A3" w:rsidP="000838A3">
            <w:pPr>
              <w:pStyle w:val="Tabletext"/>
              <w:jc w:val="center"/>
              <w:rPr>
                <w:lang w:val="en-GB"/>
              </w:rPr>
            </w:pPr>
            <w:r w:rsidRPr="002933A3">
              <w:rPr>
                <w:lang w:val="en-GB"/>
              </w:rPr>
              <w:t>50</w:t>
            </w:r>
          </w:p>
        </w:tc>
      </w:tr>
      <w:tr w:rsidR="002933A3" w:rsidRPr="002933A3" w:rsidTr="000838A3">
        <w:trPr>
          <w:jc w:val="center"/>
        </w:trPr>
        <w:tc>
          <w:tcPr>
            <w:tcW w:w="7326" w:type="dxa"/>
            <w:tcBorders>
              <w:top w:val="single" w:sz="4" w:space="0" w:color="auto"/>
              <w:left w:val="single" w:sz="4" w:space="0" w:color="auto"/>
              <w:bottom w:val="single" w:sz="4" w:space="0" w:color="auto"/>
              <w:right w:val="single" w:sz="4" w:space="0" w:color="auto"/>
            </w:tcBorders>
            <w:hideMark/>
          </w:tcPr>
          <w:p w:rsidR="002933A3" w:rsidRPr="002933A3" w:rsidRDefault="002933A3" w:rsidP="000838A3">
            <w:pPr>
              <w:pStyle w:val="Tabletext"/>
              <w:rPr>
                <w:bCs/>
                <w:lang w:val="en-GB"/>
              </w:rPr>
            </w:pPr>
            <w:r w:rsidRPr="002933A3">
              <w:rPr>
                <w:lang w:val="en-GB"/>
              </w:rPr>
              <w:t>Quality of Financial Plan</w:t>
            </w:r>
          </w:p>
        </w:tc>
        <w:tc>
          <w:tcPr>
            <w:tcW w:w="1188" w:type="dxa"/>
            <w:tcBorders>
              <w:top w:val="single" w:sz="4" w:space="0" w:color="auto"/>
              <w:left w:val="single" w:sz="4" w:space="0" w:color="auto"/>
              <w:bottom w:val="single" w:sz="4" w:space="0" w:color="auto"/>
              <w:right w:val="single" w:sz="4" w:space="0" w:color="auto"/>
            </w:tcBorders>
            <w:hideMark/>
          </w:tcPr>
          <w:p w:rsidR="002933A3" w:rsidRPr="002933A3" w:rsidRDefault="002933A3" w:rsidP="000838A3">
            <w:pPr>
              <w:pStyle w:val="Tabletext"/>
              <w:jc w:val="center"/>
              <w:rPr>
                <w:lang w:val="en-GB"/>
              </w:rPr>
            </w:pPr>
            <w:r w:rsidRPr="002933A3">
              <w:rPr>
                <w:lang w:val="en-GB"/>
              </w:rPr>
              <w:t>150</w:t>
            </w:r>
          </w:p>
        </w:tc>
      </w:tr>
    </w:tbl>
    <w:p w:rsidR="000838A3" w:rsidRDefault="000838A3" w:rsidP="002933A3">
      <w:pPr>
        <w:rPr>
          <w:szCs w:val="21"/>
          <w:lang w:val="en-GB"/>
        </w:rPr>
      </w:pPr>
    </w:p>
    <w:p w:rsidR="002933A3" w:rsidRPr="002933A3" w:rsidRDefault="002933A3" w:rsidP="000838A3">
      <w:pPr>
        <w:rPr>
          <w:lang w:val="en-GB"/>
        </w:rPr>
      </w:pPr>
      <w:r w:rsidRPr="002933A3">
        <w:rPr>
          <w:lang w:val="en-GB"/>
        </w:rPr>
        <w:t xml:space="preserve">The evaluation method adopted by the Evaluation Committee for the technical proposals is a pass/fail basis. Qualified proposals are then eligible for the bidding process. </w:t>
      </w:r>
    </w:p>
    <w:p w:rsidR="002933A3" w:rsidRPr="002933A3" w:rsidRDefault="002933A3" w:rsidP="004D6E14">
      <w:pPr>
        <w:pStyle w:val="HeadingB"/>
      </w:pPr>
      <w:r w:rsidRPr="002933A3">
        <w:t>Financial Evaluation Process and criteria</w:t>
      </w:r>
    </w:p>
    <w:p w:rsidR="002933A3" w:rsidRPr="002933A3" w:rsidRDefault="002933A3" w:rsidP="002933A3">
      <w:pPr>
        <w:rPr>
          <w:szCs w:val="21"/>
          <w:lang w:val="en-GB"/>
        </w:rPr>
      </w:pPr>
      <w:r w:rsidRPr="002933A3">
        <w:rPr>
          <w:szCs w:val="21"/>
          <w:lang w:val="en-GB"/>
        </w:rPr>
        <w:t>The highest final bidder at the end of the open auction rounds will be declared successful winner for grant of License.</w:t>
      </w:r>
    </w:p>
    <w:p w:rsidR="002933A3" w:rsidRPr="002933A3" w:rsidRDefault="002933A3" w:rsidP="002933A3">
      <w:pPr>
        <w:rPr>
          <w:szCs w:val="21"/>
          <w:lang w:val="en-GB"/>
        </w:rPr>
      </w:pPr>
      <w:r w:rsidRPr="002933A3">
        <w:rPr>
          <w:szCs w:val="21"/>
          <w:lang w:val="en-GB"/>
        </w:rPr>
        <w:t>In case of the tie for the financial value, the Bidder with the higher technical score will be the declared winner.</w:t>
      </w:r>
    </w:p>
    <w:p w:rsidR="002933A3" w:rsidRPr="004D6E14" w:rsidRDefault="004D6E14" w:rsidP="004D6E14">
      <w:pPr>
        <w:pStyle w:val="Heading1"/>
      </w:pPr>
      <w:bookmarkStart w:id="29" w:name="_Toc125788436"/>
      <w:bookmarkStart w:id="30" w:name="_Toc380408293"/>
      <w:r>
        <w:t>IV.</w:t>
      </w:r>
      <w:r>
        <w:tab/>
      </w:r>
      <w:r w:rsidR="002933A3" w:rsidRPr="004D6E14">
        <w:t>Illustrative Bidding Mechanism</w:t>
      </w:r>
      <w:bookmarkEnd w:id="29"/>
      <w:bookmarkEnd w:id="30"/>
    </w:p>
    <w:p w:rsidR="002933A3" w:rsidRPr="002933A3" w:rsidRDefault="002933A3" w:rsidP="002933A3">
      <w:pPr>
        <w:rPr>
          <w:szCs w:val="21"/>
          <w:lang w:val="en-GB"/>
        </w:rPr>
      </w:pPr>
      <w:r w:rsidRPr="002933A3">
        <w:rPr>
          <w:szCs w:val="21"/>
          <w:lang w:val="en-GB"/>
        </w:rPr>
        <w:t>For the purposes of ensuring that the Financial Proposal is structured correctly, an illustrative example of the bidding mechanism related to the minimum bid increment is presented below:</w:t>
      </w:r>
    </w:p>
    <w:p w:rsidR="002933A3" w:rsidRPr="002933A3" w:rsidRDefault="002933A3" w:rsidP="002933A3">
      <w:pPr>
        <w:rPr>
          <w:szCs w:val="21"/>
          <w:lang w:val="en-GB"/>
        </w:rPr>
      </w:pPr>
      <w:r w:rsidRPr="002933A3">
        <w:rPr>
          <w:szCs w:val="21"/>
          <w:lang w:val="en-GB"/>
        </w:rPr>
        <w:t>In this exercise:</w:t>
      </w:r>
    </w:p>
    <w:p w:rsidR="002933A3" w:rsidRPr="002933A3" w:rsidRDefault="000838A3" w:rsidP="000838A3">
      <w:pPr>
        <w:pStyle w:val="Enumlevel1"/>
      </w:pPr>
      <w:r>
        <w:t>1)</w:t>
      </w:r>
      <w:r>
        <w:tab/>
      </w:r>
      <w:r w:rsidR="002933A3" w:rsidRPr="002933A3">
        <w:t>The components of the ‘base’ price are:</w:t>
      </w:r>
    </w:p>
    <w:p w:rsidR="002933A3" w:rsidRPr="002933A3" w:rsidRDefault="000838A3" w:rsidP="000838A3">
      <w:pPr>
        <w:pStyle w:val="Enumlevel2"/>
      </w:pPr>
      <w:r>
        <w:t>a)</w:t>
      </w:r>
      <w:r>
        <w:tab/>
      </w:r>
      <w:r w:rsidR="002933A3" w:rsidRPr="002933A3">
        <w:t>base Upfront Royalty of 2.5 Billion Egyptian pounds</w:t>
      </w:r>
    </w:p>
    <w:p w:rsidR="002933A3" w:rsidRPr="002933A3" w:rsidRDefault="000838A3" w:rsidP="000838A3">
      <w:pPr>
        <w:pStyle w:val="Enumlevel2"/>
      </w:pPr>
      <w:r>
        <w:t>b)</w:t>
      </w:r>
      <w:r>
        <w:tab/>
      </w:r>
      <w:r w:rsidR="002933A3" w:rsidRPr="002933A3">
        <w:t>base Annual Royalty of 3%</w:t>
      </w:r>
    </w:p>
    <w:p w:rsidR="002933A3" w:rsidRPr="002933A3" w:rsidRDefault="000838A3" w:rsidP="000838A3">
      <w:pPr>
        <w:pStyle w:val="Enumlevel1"/>
      </w:pPr>
      <w:r>
        <w:t>2)</w:t>
      </w:r>
      <w:r>
        <w:tab/>
      </w:r>
      <w:r w:rsidR="002933A3" w:rsidRPr="002933A3">
        <w:t xml:space="preserve">The </w:t>
      </w:r>
      <w:r w:rsidR="002933A3" w:rsidRPr="002933A3">
        <w:rPr>
          <w:b/>
        </w:rPr>
        <w:t>minimum bid increment</w:t>
      </w:r>
      <w:r w:rsidR="002933A3" w:rsidRPr="002933A3">
        <w:t xml:space="preserve"> (applied to the two components of the base price) is:</w:t>
      </w:r>
    </w:p>
    <w:p w:rsidR="002933A3" w:rsidRPr="002933A3" w:rsidRDefault="002933A3" w:rsidP="000838A3">
      <w:pPr>
        <w:pStyle w:val="Enumlevel2"/>
        <w:rPr>
          <w:lang w:val="en-GB"/>
        </w:rPr>
      </w:pPr>
      <w:r w:rsidRPr="002933A3">
        <w:rPr>
          <w:lang w:val="en-GB"/>
        </w:rPr>
        <w:t>a)</w:t>
      </w:r>
      <w:r w:rsidR="000838A3">
        <w:rPr>
          <w:lang w:val="en-GB"/>
        </w:rPr>
        <w:tab/>
      </w:r>
      <w:r w:rsidRPr="002933A3">
        <w:rPr>
          <w:lang w:val="en-GB"/>
        </w:rPr>
        <w:t>100,000,000 (</w:t>
      </w:r>
      <w:r w:rsidRPr="000838A3">
        <w:t>one</w:t>
      </w:r>
      <w:r w:rsidRPr="002933A3">
        <w:rPr>
          <w:lang w:val="en-GB"/>
        </w:rPr>
        <w:t xml:space="preserve"> hundred million) Egyptian Pounds for the Upfront Royalty</w:t>
      </w:r>
      <w:r w:rsidRPr="000838A3">
        <w:rPr>
          <w:b/>
          <w:lang w:val="en-GB"/>
        </w:rPr>
        <w:t xml:space="preserve"> and</w:t>
      </w:r>
      <w:r w:rsidR="000838A3">
        <w:rPr>
          <w:b/>
          <w:lang w:val="en-GB"/>
        </w:rPr>
        <w:t xml:space="preserve"> </w:t>
      </w:r>
      <w:r w:rsidRPr="002933A3">
        <w:rPr>
          <w:lang w:val="en-GB"/>
        </w:rPr>
        <w:t>0.2 % for the Annual Royalty.</w:t>
      </w:r>
    </w:p>
    <w:p w:rsidR="002933A3" w:rsidRPr="002933A3" w:rsidRDefault="002933A3" w:rsidP="002933A3">
      <w:pPr>
        <w:rPr>
          <w:szCs w:val="21"/>
          <w:lang w:val="en-GB"/>
        </w:rPr>
      </w:pPr>
      <w:r w:rsidRPr="002933A3">
        <w:rPr>
          <w:szCs w:val="21"/>
          <w:lang w:val="en-GB"/>
        </w:rPr>
        <w:t>Accordingly, the lowest bid above the base price that is acceptable is:</w:t>
      </w:r>
    </w:p>
    <w:p w:rsidR="002933A3" w:rsidRPr="002933A3" w:rsidRDefault="002933A3" w:rsidP="000838A3">
      <w:pPr>
        <w:pStyle w:val="Enumlevel1"/>
      </w:pPr>
      <w:r w:rsidRPr="002933A3">
        <w:t>a)</w:t>
      </w:r>
      <w:r w:rsidRPr="002933A3">
        <w:tab/>
        <w:t xml:space="preserve">2.6 billion pounds for Upfront Royalty [computed as 100 million pounds above the 2.5 billion pound minimum] </w:t>
      </w:r>
    </w:p>
    <w:p w:rsidR="002933A3" w:rsidRPr="002933A3" w:rsidRDefault="000838A3" w:rsidP="000838A3">
      <w:pPr>
        <w:pStyle w:val="Enumlevel1"/>
        <w:rPr>
          <w:b/>
        </w:rPr>
      </w:pPr>
      <w:r>
        <w:rPr>
          <w:b/>
        </w:rPr>
        <w:tab/>
      </w:r>
      <w:r w:rsidR="002933A3" w:rsidRPr="002933A3">
        <w:rPr>
          <w:b/>
        </w:rPr>
        <w:t>and</w:t>
      </w:r>
    </w:p>
    <w:p w:rsidR="002933A3" w:rsidRPr="002933A3" w:rsidRDefault="002933A3" w:rsidP="000838A3">
      <w:pPr>
        <w:pStyle w:val="Enumlevel1"/>
      </w:pPr>
      <w:r w:rsidRPr="002933A3">
        <w:t>b)</w:t>
      </w:r>
      <w:r w:rsidRPr="002933A3">
        <w:tab/>
        <w:t>3.2% for Annual Royalty [computed as 0.2% above the 3% minimum]</w:t>
      </w:r>
    </w:p>
    <w:p w:rsidR="002933A3" w:rsidRPr="002933A3" w:rsidRDefault="002933A3" w:rsidP="000838A3">
      <w:pPr>
        <w:pStyle w:val="HeadingB"/>
      </w:pPr>
      <w:r w:rsidRPr="002933A3">
        <w:t>All subsequent bids are to be in integer multiples of the minimum increments identified.</w:t>
      </w:r>
    </w:p>
    <w:p w:rsidR="00AF4080" w:rsidRDefault="00AF4080">
      <w:pPr>
        <w:spacing w:before="0"/>
        <w:jc w:val="left"/>
        <w:rPr>
          <w:rFonts w:eastAsia="Times New Roman" w:cs="Helvetica"/>
          <w:b/>
          <w:bCs/>
          <w:color w:val="005173"/>
          <w:sz w:val="28"/>
          <w:szCs w:val="28"/>
          <w:lang w:val="en-US"/>
        </w:rPr>
      </w:pPr>
      <w:r w:rsidRPr="00250D23">
        <w:rPr>
          <w:lang w:val="en-US"/>
        </w:rPr>
        <w:br w:type="page"/>
      </w:r>
    </w:p>
    <w:p w:rsidR="002933A3" w:rsidRPr="004D6E14" w:rsidRDefault="004D6E14" w:rsidP="000838A3">
      <w:pPr>
        <w:pStyle w:val="Heading1"/>
      </w:pPr>
      <w:bookmarkStart w:id="31" w:name="_Toc380408294"/>
      <w:r>
        <w:lastRenderedPageBreak/>
        <w:t>V.</w:t>
      </w:r>
      <w:r>
        <w:tab/>
      </w:r>
      <w:r w:rsidR="002933A3" w:rsidRPr="004D6E14">
        <w:t>Auction Mechanism and Results</w:t>
      </w:r>
      <w:bookmarkEnd w:id="31"/>
    </w:p>
    <w:p w:rsidR="002933A3" w:rsidRPr="002933A3" w:rsidRDefault="00D81A40" w:rsidP="00D81A40">
      <w:pPr>
        <w:pStyle w:val="Enumlevel1"/>
      </w:pPr>
      <w:r>
        <w:rPr>
          <w:rFonts w:ascii="Times New Roman" w:hAnsi="Times New Roman" w:cs="Times New Roman"/>
        </w:rPr>
        <w:t>•</w:t>
      </w:r>
      <w:r>
        <w:tab/>
      </w:r>
      <w:r w:rsidR="002933A3" w:rsidRPr="002933A3">
        <w:t>Nine technically qualified consortiums announced out of the 11 bidders while two consortiums are excluded. The nine consortiums went through an auctioning process, to choose the winner.</w:t>
      </w:r>
    </w:p>
    <w:p w:rsidR="002933A3" w:rsidRPr="002933A3" w:rsidRDefault="00D81A40" w:rsidP="00D81A40">
      <w:pPr>
        <w:pStyle w:val="Enumlevel1"/>
      </w:pPr>
      <w:r>
        <w:rPr>
          <w:rFonts w:ascii="Times New Roman" w:hAnsi="Times New Roman" w:cs="Times New Roman"/>
        </w:rPr>
        <w:t>•</w:t>
      </w:r>
      <w:r>
        <w:tab/>
      </w:r>
      <w:r w:rsidR="002933A3" w:rsidRPr="002933A3">
        <w:t>The bidding process was an open auction format. Qualified bidders sat around a table and bid face-to-face, with the license ultimately going to the highest bidder.</w:t>
      </w:r>
    </w:p>
    <w:p w:rsidR="002933A3" w:rsidRPr="002933A3" w:rsidRDefault="00D81A40" w:rsidP="00D81A40">
      <w:pPr>
        <w:pStyle w:val="Enumlevel1"/>
      </w:pPr>
      <w:r>
        <w:rPr>
          <w:rFonts w:ascii="Times New Roman" w:hAnsi="Times New Roman" w:cs="Times New Roman"/>
        </w:rPr>
        <w:t>•</w:t>
      </w:r>
      <w:r>
        <w:tab/>
      </w:r>
      <w:r w:rsidR="002933A3" w:rsidRPr="002933A3">
        <w:t>Starting from the second round, the highest bid in the previous round considered the minimum bidding value for the next round.</w:t>
      </w:r>
    </w:p>
    <w:p w:rsidR="002933A3" w:rsidRPr="002933A3" w:rsidRDefault="00D81A40" w:rsidP="00D81A40">
      <w:pPr>
        <w:pStyle w:val="Enumlevel1"/>
      </w:pPr>
      <w:r>
        <w:rPr>
          <w:rFonts w:ascii="Times New Roman" w:hAnsi="Times New Roman" w:cs="Times New Roman"/>
        </w:rPr>
        <w:t>•</w:t>
      </w:r>
      <w:r>
        <w:tab/>
      </w:r>
      <w:r w:rsidR="002933A3" w:rsidRPr="002933A3">
        <w:t>A multi-round auction started with 2.5 billion Egyptian Pounds. After a competitive financial auction consisting of nine consortia, Etisalat Consortium won the bid for the 3rd telecom license in Egypt after bidding over 3 consecutive rounds.</w:t>
      </w:r>
    </w:p>
    <w:p w:rsidR="002933A3" w:rsidRPr="002933A3" w:rsidRDefault="00D81A40" w:rsidP="00D81A40">
      <w:pPr>
        <w:pStyle w:val="Enumlevel1"/>
      </w:pPr>
      <w:r>
        <w:rPr>
          <w:rFonts w:ascii="Times New Roman" w:hAnsi="Times New Roman" w:cs="Times New Roman"/>
        </w:rPr>
        <w:t>•</w:t>
      </w:r>
      <w:r>
        <w:tab/>
      </w:r>
      <w:r w:rsidR="002933A3" w:rsidRPr="002933A3">
        <w:t>At the end of the auction, the auction Head (the NTRA President), announced the winning of the consortium, which was granted the license for 16.7 billion Egyptian pounds. The share of the NTRA in the operator’s annual revenues stands at 6%.</w:t>
      </w:r>
    </w:p>
    <w:p w:rsidR="00D81A40" w:rsidRPr="00250D23" w:rsidRDefault="00D81A40">
      <w:pPr>
        <w:spacing w:before="0"/>
        <w:jc w:val="left"/>
        <w:rPr>
          <w:b/>
          <w:szCs w:val="21"/>
          <w:lang w:val="en-US"/>
        </w:rPr>
      </w:pPr>
      <w:r w:rsidRPr="00250D23">
        <w:rPr>
          <w:b/>
          <w:szCs w:val="21"/>
          <w:lang w:val="en-US"/>
        </w:rPr>
        <w:br w:type="page"/>
      </w:r>
    </w:p>
    <w:p w:rsidR="002933A3" w:rsidRPr="002933A3" w:rsidRDefault="002933A3" w:rsidP="00D81A40">
      <w:pPr>
        <w:pStyle w:val="Heading1"/>
      </w:pPr>
      <w:bookmarkStart w:id="32" w:name="_Toc380408295"/>
      <w:r w:rsidRPr="002933A3">
        <w:lastRenderedPageBreak/>
        <w:t>Annex 3: Example of allocations table: Bangladesh</w:t>
      </w:r>
      <w:bookmarkEnd w:id="12"/>
      <w:bookmarkEnd w:id="32"/>
    </w:p>
    <w:p w:rsidR="002933A3" w:rsidRPr="00250D23" w:rsidRDefault="002933A3" w:rsidP="00D81A40">
      <w:pPr>
        <w:rPr>
          <w:lang w:val="en-US"/>
        </w:rPr>
      </w:pPr>
      <w:r w:rsidRPr="00250D23">
        <w:rPr>
          <w:lang w:val="en-US"/>
        </w:rPr>
        <w:t>As per the Bangladesh Telecommunication Act-2001, Bangladesh Telecommunication Regulatory Commission has a Spectrum Management Committee. The Committee consists of one commissioner of BTRC and a number of other members, as specified by the Commission from time to time. The functions of the Committee are as follows:</w:t>
      </w:r>
    </w:p>
    <w:p w:rsidR="002933A3" w:rsidRPr="002933A3" w:rsidRDefault="00D81A40" w:rsidP="00D81A40">
      <w:pPr>
        <w:pStyle w:val="Enumlevel1"/>
      </w:pPr>
      <w:r>
        <w:t>a.</w:t>
      </w:r>
      <w:r>
        <w:tab/>
      </w:r>
      <w:r w:rsidR="002933A3" w:rsidRPr="002933A3">
        <w:t>To make recommendations to the Commission on the principles of allocation of radio frequency and fixation of fees for such frequency</w:t>
      </w:r>
    </w:p>
    <w:p w:rsidR="002933A3" w:rsidRPr="002933A3" w:rsidRDefault="00D81A40" w:rsidP="00D81A40">
      <w:pPr>
        <w:pStyle w:val="Enumlevel1"/>
      </w:pPr>
      <w:r>
        <w:t>b.</w:t>
      </w:r>
      <w:r>
        <w:tab/>
      </w:r>
      <w:r w:rsidR="002933A3" w:rsidRPr="002933A3">
        <w:t>To make recommendations to the Commission for specifying the radio frequencies to be used for operating radio apparatus or for providing services by various licensees, broadcasting enterprises and other organizations</w:t>
      </w:r>
    </w:p>
    <w:p w:rsidR="002933A3" w:rsidRPr="002933A3" w:rsidRDefault="00D81A40" w:rsidP="00D81A40">
      <w:pPr>
        <w:pStyle w:val="Enumlevel1"/>
      </w:pPr>
      <w:r>
        <w:t>c.</w:t>
      </w:r>
      <w:r>
        <w:tab/>
      </w:r>
      <w:r w:rsidR="002933A3" w:rsidRPr="002933A3">
        <w:t>To make recommendations to the Commission on the methods and time-limits of allocation of radio frequencies and the revocation or modification thereof</w:t>
      </w:r>
    </w:p>
    <w:p w:rsidR="002933A3" w:rsidRPr="002933A3" w:rsidRDefault="00D81A40" w:rsidP="00D81A40">
      <w:pPr>
        <w:pStyle w:val="Enumlevel1"/>
      </w:pPr>
      <w:r>
        <w:t>d.</w:t>
      </w:r>
      <w:r>
        <w:tab/>
      </w:r>
      <w:r w:rsidR="002933A3" w:rsidRPr="002933A3">
        <w:t>To coordinate the international and multipurpose use of radio frequency and to frame policies thereon, to present such policy for approval of the Commission and to revise from time to time the policies approved by the Commission</w:t>
      </w:r>
    </w:p>
    <w:p w:rsidR="002933A3" w:rsidRPr="002933A3" w:rsidRDefault="00D81A40" w:rsidP="00D81A40">
      <w:pPr>
        <w:pStyle w:val="Enumlevel1"/>
      </w:pPr>
      <w:r>
        <w:t>e.</w:t>
      </w:r>
      <w:r>
        <w:tab/>
      </w:r>
      <w:r w:rsidR="002933A3" w:rsidRPr="002933A3">
        <w:t>To revise matters relating to radio-frequency band in order to ensure their proper use and receipt of better information by using such band</w:t>
      </w:r>
    </w:p>
    <w:p w:rsidR="002933A3" w:rsidRPr="002933A3" w:rsidRDefault="00D81A40" w:rsidP="00D81A40">
      <w:pPr>
        <w:pStyle w:val="Enumlevel1"/>
      </w:pPr>
      <w:r>
        <w:t>f.</w:t>
      </w:r>
      <w:r>
        <w:tab/>
      </w:r>
      <w:r w:rsidR="002933A3" w:rsidRPr="002933A3">
        <w:t>To determine the technical standards applicable to radio apparatus or interference causing apparatus; and to make recommendation on the issuance of technical acceptance certificates</w:t>
      </w:r>
    </w:p>
    <w:p w:rsidR="002933A3" w:rsidRPr="002933A3" w:rsidRDefault="00D81A40" w:rsidP="00D81A40">
      <w:pPr>
        <w:pStyle w:val="Enumlevel1"/>
      </w:pPr>
      <w:r>
        <w:t>g.</w:t>
      </w:r>
      <w:r>
        <w:tab/>
      </w:r>
      <w:r w:rsidR="002933A3" w:rsidRPr="002933A3">
        <w:t>To make recommendations on the issuance of licence for radio apparatus</w:t>
      </w:r>
    </w:p>
    <w:p w:rsidR="002933A3" w:rsidRPr="002933A3" w:rsidRDefault="00D81A40" w:rsidP="00D81A40">
      <w:pPr>
        <w:pStyle w:val="Enumlevel1"/>
      </w:pPr>
      <w:r>
        <w:t>h.</w:t>
      </w:r>
      <w:r>
        <w:tab/>
      </w:r>
      <w:r w:rsidR="002933A3" w:rsidRPr="002933A3">
        <w:t>To monitor the compliance of the provisions of this Act and regulations in respect of the use of the allocated radio frequency spectrum, and to make suggestions on the actions to be taken, if any.</w:t>
      </w:r>
    </w:p>
    <w:p w:rsidR="002933A3" w:rsidRPr="00250D23" w:rsidRDefault="002933A3" w:rsidP="002933A3">
      <w:pPr>
        <w:rPr>
          <w:szCs w:val="21"/>
          <w:lang w:val="en-US"/>
        </w:rPr>
      </w:pPr>
      <w:r w:rsidRPr="00250D23">
        <w:rPr>
          <w:szCs w:val="21"/>
          <w:lang w:val="en-US"/>
        </w:rPr>
        <w:t>The BTRC in consultation with the members of the SMC, have produced an NFAP for Bangladesh. The extent to which the full benefits of the radio spectrum are realized depends on the actual use that is made of it and how efficiently it is managed. The primary objectives to be achieved with the radio spectrum include the following:</w:t>
      </w:r>
    </w:p>
    <w:p w:rsidR="002933A3" w:rsidRPr="002933A3" w:rsidRDefault="00D81A40" w:rsidP="00D81A40">
      <w:pPr>
        <w:pStyle w:val="Enumlevel1"/>
      </w:pPr>
      <w:r>
        <w:rPr>
          <w:rFonts w:ascii="Times New Roman" w:hAnsi="Times New Roman" w:cs="Times New Roman"/>
        </w:rPr>
        <w:t>•</w:t>
      </w:r>
      <w:r>
        <w:tab/>
      </w:r>
      <w:r w:rsidR="002933A3" w:rsidRPr="002933A3">
        <w:t>To allow the development of new services to meet customer and governmental demand for radio services;</w:t>
      </w:r>
    </w:p>
    <w:p w:rsidR="002933A3" w:rsidRPr="002933A3" w:rsidRDefault="00D81A40" w:rsidP="00D81A40">
      <w:pPr>
        <w:pStyle w:val="Enumlevel1"/>
      </w:pPr>
      <w:r>
        <w:rPr>
          <w:rFonts w:ascii="Times New Roman" w:hAnsi="Times New Roman" w:cs="Times New Roman"/>
        </w:rPr>
        <w:t>•</w:t>
      </w:r>
      <w:r>
        <w:tab/>
      </w:r>
      <w:r w:rsidR="002933A3" w:rsidRPr="002933A3">
        <w:t>To manage the radio spectrum within Bangladesh taking account of governmental requirements and the needs of the various commercial sectors;</w:t>
      </w:r>
    </w:p>
    <w:p w:rsidR="002933A3" w:rsidRPr="002933A3" w:rsidRDefault="00D81A40" w:rsidP="00D81A40">
      <w:pPr>
        <w:pStyle w:val="Enumlevel1"/>
      </w:pPr>
      <w:r>
        <w:rPr>
          <w:rFonts w:ascii="Times New Roman" w:hAnsi="Times New Roman" w:cs="Times New Roman"/>
        </w:rPr>
        <w:t>•</w:t>
      </w:r>
      <w:r>
        <w:tab/>
      </w:r>
      <w:r w:rsidR="002933A3" w:rsidRPr="002933A3">
        <w:t>To harmonise spectrum use with international developments (ITU, APT);</w:t>
      </w:r>
    </w:p>
    <w:p w:rsidR="002933A3" w:rsidRPr="002933A3" w:rsidRDefault="00D81A40" w:rsidP="00D81A40">
      <w:pPr>
        <w:pStyle w:val="Enumlevel1"/>
      </w:pPr>
      <w:r>
        <w:rPr>
          <w:rFonts w:ascii="Times New Roman" w:hAnsi="Times New Roman" w:cs="Times New Roman"/>
        </w:rPr>
        <w:t>•</w:t>
      </w:r>
      <w:r>
        <w:tab/>
      </w:r>
      <w:r w:rsidR="002933A3" w:rsidRPr="002933A3">
        <w:t>To enable liberalisation of, and competition for, telecommunications (including radiocommunications) services and equipment;</w:t>
      </w:r>
    </w:p>
    <w:p w:rsidR="002933A3" w:rsidRPr="002933A3" w:rsidRDefault="00D81A40" w:rsidP="00D81A40">
      <w:pPr>
        <w:pStyle w:val="Enumlevel1"/>
      </w:pPr>
      <w:r>
        <w:rPr>
          <w:rFonts w:ascii="Times New Roman" w:hAnsi="Times New Roman" w:cs="Times New Roman"/>
        </w:rPr>
        <w:t>•</w:t>
      </w:r>
      <w:r>
        <w:tab/>
      </w:r>
      <w:r w:rsidR="002933A3" w:rsidRPr="002933A3">
        <w:t>To enable the realisation of public policy objectives on safety (including emergency services), cultural (including broadcasting) and social issues;</w:t>
      </w:r>
    </w:p>
    <w:p w:rsidR="002933A3" w:rsidRPr="002933A3" w:rsidRDefault="00D81A40" w:rsidP="00D81A40">
      <w:pPr>
        <w:pStyle w:val="Enumlevel1"/>
      </w:pPr>
      <w:r>
        <w:rPr>
          <w:rFonts w:ascii="Times New Roman" w:hAnsi="Times New Roman" w:cs="Times New Roman"/>
        </w:rPr>
        <w:t>•</w:t>
      </w:r>
      <w:r>
        <w:tab/>
      </w:r>
      <w:r w:rsidR="002933A3" w:rsidRPr="002933A3">
        <w:t>To stimulate technological innovation and competitiveness;</w:t>
      </w:r>
    </w:p>
    <w:p w:rsidR="002933A3" w:rsidRPr="002933A3" w:rsidRDefault="00D81A40" w:rsidP="00D81A40">
      <w:pPr>
        <w:pStyle w:val="Enumlevel1"/>
      </w:pPr>
      <w:r>
        <w:rPr>
          <w:rFonts w:ascii="Times New Roman" w:hAnsi="Times New Roman" w:cs="Times New Roman"/>
        </w:rPr>
        <w:t>•</w:t>
      </w:r>
      <w:r>
        <w:tab/>
      </w:r>
      <w:r w:rsidR="002933A3" w:rsidRPr="002933A3">
        <w:t>To support economic growth, create employment and to promote general welfare;</w:t>
      </w:r>
    </w:p>
    <w:p w:rsidR="002933A3" w:rsidRPr="002933A3" w:rsidRDefault="00D81A40" w:rsidP="00D81A40">
      <w:pPr>
        <w:pStyle w:val="Enumlevel1"/>
      </w:pPr>
      <w:r>
        <w:rPr>
          <w:rFonts w:ascii="Times New Roman" w:hAnsi="Times New Roman" w:cs="Times New Roman"/>
        </w:rPr>
        <w:t>•</w:t>
      </w:r>
      <w:r>
        <w:tab/>
      </w:r>
      <w:r w:rsidR="002933A3" w:rsidRPr="002933A3">
        <w:t>To support national security and governmental applications.</w:t>
      </w:r>
    </w:p>
    <w:p w:rsidR="00D81A40" w:rsidRPr="00250D23" w:rsidRDefault="00D81A40">
      <w:pPr>
        <w:spacing w:before="0"/>
        <w:jc w:val="left"/>
        <w:rPr>
          <w:b/>
          <w:szCs w:val="21"/>
          <w:lang w:val="en-US"/>
        </w:rPr>
      </w:pPr>
      <w:bookmarkStart w:id="33" w:name="_Toc356483660"/>
      <w:r w:rsidRPr="00250D23">
        <w:rPr>
          <w:b/>
          <w:szCs w:val="21"/>
          <w:lang w:val="en-US"/>
        </w:rPr>
        <w:br w:type="page"/>
      </w:r>
    </w:p>
    <w:p w:rsidR="002933A3" w:rsidRPr="00250D23" w:rsidRDefault="002933A3" w:rsidP="00D81A40">
      <w:pPr>
        <w:pStyle w:val="Heading1"/>
        <w:tabs>
          <w:tab w:val="left" w:pos="1260"/>
        </w:tabs>
        <w:ind w:left="1260" w:hanging="1260"/>
        <w:rPr>
          <w:lang w:val="fr-CH"/>
        </w:rPr>
      </w:pPr>
      <w:bookmarkStart w:id="34" w:name="_Toc380408296"/>
      <w:r w:rsidRPr="00250D23">
        <w:rPr>
          <w:lang w:val="fr-CH"/>
        </w:rPr>
        <w:lastRenderedPageBreak/>
        <w:t>Annexe 4:</w:t>
      </w:r>
      <w:r w:rsidR="00D81A40" w:rsidRPr="00250D23">
        <w:rPr>
          <w:lang w:val="fr-CH"/>
        </w:rPr>
        <w:tab/>
      </w:r>
      <w:r w:rsidRPr="00250D23">
        <w:rPr>
          <w:lang w:val="fr-CH"/>
        </w:rPr>
        <w:t>La valorisation des bandes de fréquences en cas de réaménagement du spectre</w:t>
      </w:r>
      <w:bookmarkEnd w:id="33"/>
      <w:bookmarkEnd w:id="34"/>
    </w:p>
    <w:p w:rsidR="002933A3" w:rsidRPr="002933A3" w:rsidRDefault="002933A3" w:rsidP="00D81A40">
      <w:pPr>
        <w:rPr>
          <w:lang w:val="fr-CH"/>
        </w:rPr>
      </w:pPr>
      <w:r w:rsidRPr="002933A3">
        <w:rPr>
          <w:lang w:val="fr-CH"/>
        </w:rPr>
        <w:t>La méthode de valorisation des bandes de fréquence peut être décomposée en trois parties distinctes :</w:t>
      </w:r>
    </w:p>
    <w:p w:rsidR="002933A3" w:rsidRPr="00250D23" w:rsidRDefault="00D81A40" w:rsidP="00D81A40">
      <w:pPr>
        <w:pStyle w:val="Enumlevel1"/>
        <w:rPr>
          <w:lang w:val="fr-CH"/>
        </w:rPr>
      </w:pPr>
      <w:r w:rsidRPr="00250D23">
        <w:rPr>
          <w:lang w:val="fr-CH"/>
        </w:rPr>
        <w:t>–</w:t>
      </w:r>
      <w:r w:rsidRPr="00250D23">
        <w:rPr>
          <w:lang w:val="fr-CH"/>
        </w:rPr>
        <w:tab/>
      </w:r>
      <w:r w:rsidR="002933A3" w:rsidRPr="00250D23">
        <w:rPr>
          <w:b/>
          <w:bCs/>
          <w:lang w:val="fr-CH"/>
        </w:rPr>
        <w:t>Valorisation de l’existant</w:t>
      </w:r>
      <w:r w:rsidR="002933A3" w:rsidRPr="00250D23">
        <w:rPr>
          <w:lang w:val="fr-CH"/>
        </w:rPr>
        <w:t>: étude de l’utilisation des bandes de fréquences et calcul du coût de déménagement,</w:t>
      </w:r>
    </w:p>
    <w:p w:rsidR="002933A3" w:rsidRPr="00250D23" w:rsidRDefault="00D81A40" w:rsidP="00D81A40">
      <w:pPr>
        <w:pStyle w:val="Enumlevel1"/>
        <w:rPr>
          <w:lang w:val="fr-CH"/>
        </w:rPr>
      </w:pPr>
      <w:r w:rsidRPr="00250D23">
        <w:rPr>
          <w:lang w:val="fr-CH"/>
        </w:rPr>
        <w:t>–</w:t>
      </w:r>
      <w:r w:rsidRPr="00250D23">
        <w:rPr>
          <w:lang w:val="fr-CH"/>
        </w:rPr>
        <w:tab/>
      </w:r>
      <w:r w:rsidR="002933A3" w:rsidRPr="00250D23">
        <w:rPr>
          <w:b/>
          <w:bCs/>
          <w:lang w:val="fr-CH"/>
        </w:rPr>
        <w:t>Valorisation des utilisations potentielles</w:t>
      </w:r>
      <w:r w:rsidR="002933A3" w:rsidRPr="00250D23">
        <w:rPr>
          <w:lang w:val="fr-CH"/>
        </w:rPr>
        <w:t>: étude des différentes applications possibles et valorisation du coût d’opportunité,</w:t>
      </w:r>
    </w:p>
    <w:p w:rsidR="002933A3" w:rsidRPr="00250D23" w:rsidRDefault="00D81A40" w:rsidP="00D81A40">
      <w:pPr>
        <w:pStyle w:val="Enumlevel1"/>
        <w:rPr>
          <w:rFonts w:cs="Arial"/>
          <w:lang w:val="fr-CH"/>
        </w:rPr>
      </w:pPr>
      <w:r w:rsidRPr="00250D23">
        <w:rPr>
          <w:lang w:val="fr-CH"/>
        </w:rPr>
        <w:t>–</w:t>
      </w:r>
      <w:r w:rsidRPr="00250D23">
        <w:rPr>
          <w:b/>
          <w:bCs/>
          <w:lang w:val="fr-CH"/>
        </w:rPr>
        <w:tab/>
      </w:r>
      <w:r w:rsidR="002933A3" w:rsidRPr="00250D23">
        <w:rPr>
          <w:b/>
          <w:bCs/>
          <w:lang w:val="fr-CH"/>
        </w:rPr>
        <w:t>Correction de la valeur</w:t>
      </w:r>
      <w:r w:rsidR="002933A3" w:rsidRPr="00250D23">
        <w:rPr>
          <w:lang w:val="fr-CH"/>
        </w:rPr>
        <w:t>: étude des différents paramètres (bande partagée/exclusive, usage primaire/secondaire, contraintes de d</w:t>
      </w:r>
      <w:r w:rsidR="002933A3" w:rsidRPr="00250D23">
        <w:rPr>
          <w:rFonts w:cs="Arial"/>
          <w:lang w:val="fr-CH"/>
        </w:rPr>
        <w:t>éploiement…) qui viennent atténuer ou augmenter la valeur des bandes de fréquences.</w:t>
      </w:r>
    </w:p>
    <w:p w:rsidR="002933A3" w:rsidRPr="002933A3" w:rsidRDefault="002933A3" w:rsidP="002933A3">
      <w:pPr>
        <w:autoSpaceDE w:val="0"/>
        <w:autoSpaceDN w:val="0"/>
        <w:adjustRightInd w:val="0"/>
        <w:rPr>
          <w:rFonts w:cs="Arial"/>
          <w:szCs w:val="21"/>
          <w:lang w:val="fr-CH"/>
        </w:rPr>
      </w:pPr>
      <w:r w:rsidRPr="002933A3">
        <w:rPr>
          <w:rFonts w:cs="Arial"/>
          <w:szCs w:val="21"/>
          <w:lang w:val="fr-CH"/>
        </w:rPr>
        <w:t>Pour chaque bande de fréquences, on définit alors une valeur associée à chacune des parties précédentes :</w:t>
      </w:r>
    </w:p>
    <w:p w:rsidR="002933A3" w:rsidRPr="00250D23" w:rsidRDefault="00D84292" w:rsidP="00D84292">
      <w:pPr>
        <w:pStyle w:val="Enumlevel1"/>
        <w:rPr>
          <w:lang w:val="fr-CH"/>
        </w:rPr>
      </w:pPr>
      <w:r w:rsidRPr="00250D23">
        <w:rPr>
          <w:lang w:val="fr-CH"/>
        </w:rPr>
        <w:t>–</w:t>
      </w:r>
      <w:r w:rsidRPr="00250D23">
        <w:rPr>
          <w:lang w:val="fr-CH"/>
        </w:rPr>
        <w:tab/>
      </w:r>
      <w:r w:rsidR="002933A3" w:rsidRPr="00250D23">
        <w:rPr>
          <w:lang w:val="fr-CH"/>
        </w:rPr>
        <w:t xml:space="preserve">Coût de déménagement </w:t>
      </w:r>
      <w:r w:rsidR="002933A3" w:rsidRPr="00250D23">
        <w:rPr>
          <w:i/>
          <w:iCs/>
          <w:lang w:val="fr-CH"/>
        </w:rPr>
        <w:t>Cd</w:t>
      </w:r>
      <w:r w:rsidR="002933A3" w:rsidRPr="00250D23">
        <w:rPr>
          <w:lang w:val="fr-CH"/>
        </w:rPr>
        <w:t>,</w:t>
      </w:r>
    </w:p>
    <w:p w:rsidR="002933A3" w:rsidRPr="002933A3" w:rsidRDefault="002933A3" w:rsidP="002933A3">
      <w:pPr>
        <w:autoSpaceDE w:val="0"/>
        <w:autoSpaceDN w:val="0"/>
        <w:adjustRightInd w:val="0"/>
        <w:rPr>
          <w:rFonts w:cs="Arial"/>
          <w:szCs w:val="21"/>
          <w:lang w:val="fr-CH"/>
        </w:rPr>
      </w:pPr>
      <w:r w:rsidRPr="002933A3">
        <w:rPr>
          <w:rFonts w:cs="Arial"/>
          <w:szCs w:val="21"/>
          <w:lang w:val="fr-CH"/>
        </w:rPr>
        <w:t>Un nouvel usage de fréquences suppose des investissements importants qui s’étendent nécessairement sur plusieurs années pour être rentabilisés.</w:t>
      </w:r>
    </w:p>
    <w:p w:rsidR="002933A3" w:rsidRPr="00250D23" w:rsidRDefault="00D84292" w:rsidP="00D84292">
      <w:pPr>
        <w:pStyle w:val="Enumlevel1"/>
        <w:rPr>
          <w:lang w:val="fr-CH"/>
        </w:rPr>
      </w:pPr>
      <w:r w:rsidRPr="00250D23">
        <w:rPr>
          <w:lang w:val="fr-CH"/>
        </w:rPr>
        <w:t>–</w:t>
      </w:r>
      <w:r w:rsidRPr="00250D23">
        <w:rPr>
          <w:lang w:val="fr-CH"/>
        </w:rPr>
        <w:tab/>
      </w:r>
      <w:r w:rsidR="002933A3" w:rsidRPr="00250D23">
        <w:rPr>
          <w:lang w:val="fr-CH"/>
        </w:rPr>
        <w:t>Coût d'opportunité Co,</w:t>
      </w:r>
    </w:p>
    <w:p w:rsidR="002933A3" w:rsidRPr="002933A3" w:rsidRDefault="002933A3" w:rsidP="002933A3">
      <w:pPr>
        <w:autoSpaceDE w:val="0"/>
        <w:autoSpaceDN w:val="0"/>
        <w:adjustRightInd w:val="0"/>
        <w:rPr>
          <w:rFonts w:cs="Arial"/>
          <w:szCs w:val="21"/>
          <w:lang w:val="fr-CH"/>
        </w:rPr>
      </w:pPr>
      <w:r w:rsidRPr="002933A3">
        <w:rPr>
          <w:rFonts w:cs="Arial"/>
          <w:szCs w:val="21"/>
          <w:lang w:val="fr-CH"/>
        </w:rPr>
        <w:t>Le spectre n’a pas de valeur en soi, sa valorisation résulte de sa rareté relative en raison de la multiplicité des usages potentielles. En conséquence, sa valeur se mesure par son coût d’opportunité c’est-à-dire la valeur des usages alternatifs auxquels il faut renoncer lorsqu’un usage donné est choisi.</w:t>
      </w:r>
    </w:p>
    <w:p w:rsidR="002933A3" w:rsidRPr="00250D23" w:rsidRDefault="00D84292" w:rsidP="00D84292">
      <w:pPr>
        <w:pStyle w:val="Enumlevel1"/>
        <w:rPr>
          <w:lang w:val="fr-CH"/>
        </w:rPr>
      </w:pPr>
      <w:r w:rsidRPr="00250D23">
        <w:rPr>
          <w:lang w:val="fr-CH"/>
        </w:rPr>
        <w:t>–</w:t>
      </w:r>
      <w:r w:rsidRPr="00250D23">
        <w:rPr>
          <w:lang w:val="fr-CH"/>
        </w:rPr>
        <w:tab/>
      </w:r>
      <w:r w:rsidR="002933A3" w:rsidRPr="00250D23">
        <w:rPr>
          <w:lang w:val="fr-CH"/>
        </w:rPr>
        <w:t>Coût correctif Cc.</w:t>
      </w:r>
    </w:p>
    <w:p w:rsidR="002933A3" w:rsidRPr="002933A3" w:rsidRDefault="002933A3" w:rsidP="002933A3">
      <w:pPr>
        <w:autoSpaceDE w:val="0"/>
        <w:autoSpaceDN w:val="0"/>
        <w:adjustRightInd w:val="0"/>
        <w:rPr>
          <w:rFonts w:cs="Arial"/>
          <w:szCs w:val="21"/>
          <w:lang w:val="fr-CH"/>
        </w:rPr>
      </w:pPr>
      <w:r w:rsidRPr="002933A3">
        <w:rPr>
          <w:rFonts w:cs="Arial"/>
          <w:szCs w:val="21"/>
          <w:lang w:val="fr-CH"/>
        </w:rPr>
        <w:t xml:space="preserve">Certains paramètres importants peuvent altérer la valeur des bandes de fréquences calculée précédemment par exemple : partage, obligation de zone de couverture, marché secondaire. </w:t>
      </w:r>
    </w:p>
    <w:p w:rsidR="002933A3" w:rsidRPr="002933A3" w:rsidRDefault="002933A3" w:rsidP="002933A3">
      <w:pPr>
        <w:autoSpaceDE w:val="0"/>
        <w:autoSpaceDN w:val="0"/>
        <w:adjustRightInd w:val="0"/>
        <w:rPr>
          <w:rFonts w:cs="Arial"/>
          <w:szCs w:val="21"/>
          <w:lang w:val="fr-CH"/>
        </w:rPr>
      </w:pPr>
      <w:r w:rsidRPr="002933A3">
        <w:rPr>
          <w:rFonts w:cs="Arial"/>
          <w:szCs w:val="21"/>
          <w:lang w:val="fr-CH"/>
        </w:rPr>
        <w:t>En conséquence, la valeur d’une bande de fréquences est une fonction de ces trois paramètres. En première approximation, on peut considérer que cette fonction est une somme :</w:t>
      </w:r>
    </w:p>
    <w:p w:rsidR="002933A3" w:rsidRPr="002933A3" w:rsidRDefault="00D84292" w:rsidP="002933A3">
      <w:pPr>
        <w:autoSpaceDE w:val="0"/>
        <w:autoSpaceDN w:val="0"/>
        <w:adjustRightInd w:val="0"/>
        <w:ind w:left="708" w:firstLine="708"/>
        <w:rPr>
          <w:rFonts w:ascii="Times New Roman" w:hAnsi="Times New Roman"/>
          <w:i/>
          <w:iCs/>
          <w:szCs w:val="21"/>
          <w:lang w:val="fr-CH"/>
        </w:rPr>
      </w:pPr>
      <w:r>
        <w:rPr>
          <w:rFonts w:ascii="Times New Roman" w:hAnsi="Times New Roman"/>
          <w:i/>
          <w:iCs/>
          <w:szCs w:val="21"/>
          <w:lang w:val="fr-CH"/>
        </w:rPr>
        <w:tab/>
      </w:r>
      <w:r>
        <w:rPr>
          <w:rFonts w:ascii="Times New Roman" w:hAnsi="Times New Roman"/>
          <w:i/>
          <w:iCs/>
          <w:szCs w:val="21"/>
          <w:lang w:val="fr-CH"/>
        </w:rPr>
        <w:tab/>
      </w:r>
      <w:r>
        <w:rPr>
          <w:rFonts w:ascii="Times New Roman" w:hAnsi="Times New Roman"/>
          <w:i/>
          <w:iCs/>
          <w:szCs w:val="21"/>
          <w:lang w:val="fr-CH"/>
        </w:rPr>
        <w:tab/>
      </w:r>
      <w:r w:rsidR="002933A3" w:rsidRPr="002933A3">
        <w:rPr>
          <w:rFonts w:ascii="Times New Roman" w:hAnsi="Times New Roman"/>
          <w:i/>
          <w:iCs/>
          <w:szCs w:val="21"/>
          <w:lang w:val="fr-CH"/>
        </w:rPr>
        <w:t xml:space="preserve">Valeur (Bande) </w:t>
      </w:r>
      <w:r w:rsidR="002933A3" w:rsidRPr="002933A3">
        <w:rPr>
          <w:rFonts w:ascii="Symbol" w:hAnsi="Symbol" w:cs="Symbol"/>
          <w:szCs w:val="21"/>
        </w:rPr>
        <w:t></w:t>
      </w:r>
      <w:r w:rsidR="002933A3" w:rsidRPr="002933A3">
        <w:rPr>
          <w:rFonts w:ascii="Symbol" w:hAnsi="Symbol" w:cs="Symbol"/>
          <w:szCs w:val="21"/>
        </w:rPr>
        <w:t></w:t>
      </w:r>
      <w:r w:rsidR="002933A3" w:rsidRPr="002933A3">
        <w:rPr>
          <w:rFonts w:ascii="Times New Roman" w:hAnsi="Times New Roman"/>
          <w:i/>
          <w:iCs/>
          <w:szCs w:val="21"/>
          <w:lang w:val="fr-CH"/>
        </w:rPr>
        <w:t xml:space="preserve">Cd </w:t>
      </w:r>
      <w:r w:rsidR="002933A3" w:rsidRPr="002933A3">
        <w:rPr>
          <w:rFonts w:ascii="Symbol" w:hAnsi="Symbol" w:cs="Symbol"/>
          <w:szCs w:val="21"/>
        </w:rPr>
        <w:t></w:t>
      </w:r>
      <w:r w:rsidR="002933A3" w:rsidRPr="002933A3">
        <w:rPr>
          <w:rFonts w:ascii="Times New Roman" w:hAnsi="Times New Roman"/>
          <w:i/>
          <w:iCs/>
          <w:szCs w:val="21"/>
          <w:lang w:val="fr-CH"/>
        </w:rPr>
        <w:t xml:space="preserve">Co </w:t>
      </w:r>
      <w:r w:rsidR="002933A3" w:rsidRPr="002933A3">
        <w:rPr>
          <w:rFonts w:ascii="Symbol" w:hAnsi="Symbol" w:cs="Symbol"/>
          <w:szCs w:val="21"/>
        </w:rPr>
        <w:t></w:t>
      </w:r>
      <w:r w:rsidR="002933A3" w:rsidRPr="002933A3">
        <w:rPr>
          <w:rFonts w:ascii="Times New Roman" w:hAnsi="Times New Roman"/>
          <w:i/>
          <w:iCs/>
          <w:szCs w:val="21"/>
          <w:lang w:val="fr-CH"/>
        </w:rPr>
        <w:t>Cc</w:t>
      </w:r>
    </w:p>
    <w:p w:rsidR="002933A3" w:rsidRPr="00250D23" w:rsidRDefault="002933A3" w:rsidP="00AF4080">
      <w:pPr>
        <w:pStyle w:val="Heading2"/>
        <w:rPr>
          <w:lang w:val="fr-CH"/>
        </w:rPr>
      </w:pPr>
      <w:bookmarkStart w:id="35" w:name="_Toc380408297"/>
      <w:r w:rsidRPr="00250D23">
        <w:rPr>
          <w:lang w:val="fr-CH"/>
        </w:rPr>
        <w:t>2.1.</w:t>
      </w:r>
      <w:r w:rsidR="00AF4080" w:rsidRPr="00250D23">
        <w:rPr>
          <w:lang w:val="fr-CH"/>
        </w:rPr>
        <w:tab/>
      </w:r>
      <w:r w:rsidRPr="00250D23">
        <w:rPr>
          <w:lang w:val="fr-CH"/>
        </w:rPr>
        <w:t>Valorisation de l’existant/ Coût de déménagement</w:t>
      </w:r>
      <w:bookmarkEnd w:id="35"/>
    </w:p>
    <w:p w:rsidR="002933A3" w:rsidRPr="002933A3" w:rsidRDefault="002933A3" w:rsidP="002933A3">
      <w:pPr>
        <w:autoSpaceDE w:val="0"/>
        <w:autoSpaceDN w:val="0"/>
        <w:adjustRightInd w:val="0"/>
        <w:rPr>
          <w:rFonts w:cs="Arial"/>
          <w:szCs w:val="21"/>
          <w:lang w:val="fr-CH"/>
        </w:rPr>
      </w:pPr>
      <w:r w:rsidRPr="002933A3">
        <w:rPr>
          <w:rFonts w:cs="Arial"/>
          <w:szCs w:val="21"/>
          <w:lang w:val="fr-CH"/>
        </w:rPr>
        <w:t>Cette première étape consiste à évaluer la valeur économique du patrimoine que possède l’affectataire.</w:t>
      </w:r>
      <w:r w:rsidR="0059184A">
        <w:rPr>
          <w:rFonts w:cs="Arial"/>
          <w:szCs w:val="21"/>
          <w:lang w:val="fr-CH"/>
        </w:rPr>
        <w:t xml:space="preserve"> </w:t>
      </w:r>
      <w:r w:rsidRPr="002933A3">
        <w:rPr>
          <w:rFonts w:cs="Arial"/>
          <w:szCs w:val="21"/>
          <w:lang w:val="fr-CH"/>
        </w:rPr>
        <w:t>Ce patrimoine est constitué d’une série de bandes de fréquences qui doivent être évaluées une par une. La valeur totale du patrimoine est la somme des valeurs des bandes de fréquences prises séparément.</w:t>
      </w:r>
    </w:p>
    <w:p w:rsidR="002933A3" w:rsidRPr="002933A3" w:rsidRDefault="002933A3" w:rsidP="002933A3">
      <w:pPr>
        <w:autoSpaceDE w:val="0"/>
        <w:autoSpaceDN w:val="0"/>
        <w:adjustRightInd w:val="0"/>
        <w:rPr>
          <w:rFonts w:cs="Arial"/>
          <w:szCs w:val="21"/>
          <w:lang w:val="fr-CH"/>
        </w:rPr>
      </w:pPr>
      <w:r w:rsidRPr="002933A3">
        <w:rPr>
          <w:rFonts w:cs="Arial"/>
          <w:szCs w:val="21"/>
          <w:lang w:val="fr-CH"/>
        </w:rPr>
        <w:t>La liste des bandes de fréquences utilisées par l’affectataire constitue le premier jeu de données. Des informations collectées viennent compléter ces données d’entrée. Enfin, l’étude économique est alimentée par de nombreuses sources d’information au niveau national comme international. Les sources suivantes sont citées à titre d’exemple et ne constituent pas une liste exhaustive, il est possible d’avoir recours à d’autres sources non expressément citées :</w:t>
      </w:r>
    </w:p>
    <w:p w:rsidR="002933A3" w:rsidRPr="00250D23" w:rsidRDefault="00D84292" w:rsidP="00D84292">
      <w:pPr>
        <w:pStyle w:val="Enumlevel1"/>
        <w:rPr>
          <w:rFonts w:cs="Symbol"/>
          <w:lang w:val="fr-CH"/>
        </w:rPr>
      </w:pPr>
      <w:r w:rsidRPr="00250D23">
        <w:rPr>
          <w:lang w:val="fr-CH"/>
        </w:rPr>
        <w:t>–</w:t>
      </w:r>
      <w:r w:rsidRPr="00250D23">
        <w:rPr>
          <w:lang w:val="fr-CH"/>
        </w:rPr>
        <w:tab/>
      </w:r>
      <w:r w:rsidR="002933A3" w:rsidRPr="00250D23">
        <w:rPr>
          <w:lang w:val="fr-CH"/>
        </w:rPr>
        <w:t>National : tableau des tarifs, frais de licences, redevances, prix équipements.</w:t>
      </w:r>
    </w:p>
    <w:p w:rsidR="002933A3" w:rsidRPr="00250D23" w:rsidRDefault="00D84292" w:rsidP="00D84292">
      <w:pPr>
        <w:pStyle w:val="Enumlevel1"/>
        <w:rPr>
          <w:rFonts w:cs="Symbol"/>
          <w:lang w:val="fr-CH"/>
        </w:rPr>
      </w:pPr>
      <w:r w:rsidRPr="00250D23">
        <w:rPr>
          <w:lang w:val="fr-CH"/>
        </w:rPr>
        <w:t>–</w:t>
      </w:r>
      <w:r w:rsidRPr="00250D23">
        <w:rPr>
          <w:lang w:val="fr-CH"/>
        </w:rPr>
        <w:tab/>
      </w:r>
      <w:r w:rsidR="002933A3" w:rsidRPr="00250D23">
        <w:rPr>
          <w:lang w:val="fr-CH"/>
        </w:rPr>
        <w:t>Institut National de la Statistique (et des Études Économiques)</w:t>
      </w:r>
    </w:p>
    <w:p w:rsidR="002933A3" w:rsidRPr="00250D23" w:rsidRDefault="00D84292" w:rsidP="00D84292">
      <w:pPr>
        <w:pStyle w:val="Enumlevel1"/>
        <w:rPr>
          <w:lang w:val="fr-CH"/>
        </w:rPr>
      </w:pPr>
      <w:r w:rsidRPr="00250D23">
        <w:rPr>
          <w:lang w:val="fr-CH"/>
        </w:rPr>
        <w:t>–</w:t>
      </w:r>
      <w:r w:rsidRPr="00250D23">
        <w:rPr>
          <w:lang w:val="fr-CH"/>
        </w:rPr>
        <w:tab/>
      </w:r>
      <w:r w:rsidR="002933A3" w:rsidRPr="00250D23">
        <w:rPr>
          <w:lang w:val="fr-CH"/>
        </w:rPr>
        <w:t>Portail de la Statistique Publique</w:t>
      </w:r>
    </w:p>
    <w:p w:rsidR="002933A3" w:rsidRPr="00250D23" w:rsidRDefault="00D84292" w:rsidP="00D84292">
      <w:pPr>
        <w:pStyle w:val="Enumlevel1"/>
        <w:rPr>
          <w:lang w:val="fr-CH"/>
        </w:rPr>
      </w:pPr>
      <w:r w:rsidRPr="00250D23">
        <w:rPr>
          <w:lang w:val="fr-CH"/>
        </w:rPr>
        <w:t>–</w:t>
      </w:r>
      <w:r w:rsidRPr="00250D23">
        <w:rPr>
          <w:lang w:val="fr-CH"/>
        </w:rPr>
        <w:tab/>
      </w:r>
      <w:r w:rsidR="002933A3" w:rsidRPr="00250D23">
        <w:rPr>
          <w:lang w:val="fr-CH"/>
        </w:rPr>
        <w:t>CCI (Chambres de Commerce et d’Industrie)</w:t>
      </w:r>
    </w:p>
    <w:p w:rsidR="002933A3" w:rsidRPr="00250D23" w:rsidRDefault="00D84292" w:rsidP="00D84292">
      <w:pPr>
        <w:pStyle w:val="Enumlevel1"/>
        <w:rPr>
          <w:lang w:val="fr-CH"/>
        </w:rPr>
      </w:pPr>
      <w:r w:rsidRPr="00250D23">
        <w:rPr>
          <w:lang w:val="fr-CH"/>
        </w:rPr>
        <w:t>–</w:t>
      </w:r>
      <w:r w:rsidRPr="00250D23">
        <w:rPr>
          <w:lang w:val="fr-CH"/>
        </w:rPr>
        <w:tab/>
      </w:r>
      <w:r w:rsidR="002933A3" w:rsidRPr="00250D23">
        <w:rPr>
          <w:lang w:val="fr-CH"/>
        </w:rPr>
        <w:t>Base de données de l’UIT/UNESCO</w:t>
      </w:r>
    </w:p>
    <w:p w:rsidR="002933A3" w:rsidRPr="00250D23" w:rsidRDefault="00D84292" w:rsidP="00D84292">
      <w:pPr>
        <w:pStyle w:val="Enumlevel1"/>
        <w:rPr>
          <w:lang w:val="fr-CH"/>
        </w:rPr>
      </w:pPr>
      <w:r w:rsidRPr="00250D23">
        <w:rPr>
          <w:lang w:val="fr-CH"/>
        </w:rPr>
        <w:t>–</w:t>
      </w:r>
      <w:r w:rsidRPr="00250D23">
        <w:rPr>
          <w:lang w:val="fr-CH"/>
        </w:rPr>
        <w:tab/>
      </w:r>
      <w:r w:rsidR="002933A3" w:rsidRPr="00250D23">
        <w:rPr>
          <w:lang w:val="fr-CH"/>
        </w:rPr>
        <w:t>Banque Mondiale, OCDE</w:t>
      </w:r>
    </w:p>
    <w:p w:rsidR="002933A3" w:rsidRPr="00250D23" w:rsidRDefault="00D84292" w:rsidP="00D84292">
      <w:pPr>
        <w:pStyle w:val="Enumlevel1"/>
        <w:rPr>
          <w:lang w:val="fr-CH"/>
        </w:rPr>
      </w:pPr>
      <w:r w:rsidRPr="00250D23">
        <w:rPr>
          <w:lang w:val="fr-CH"/>
        </w:rPr>
        <w:t>–</w:t>
      </w:r>
      <w:r w:rsidRPr="00250D23">
        <w:rPr>
          <w:lang w:val="fr-CH"/>
        </w:rPr>
        <w:tab/>
      </w:r>
      <w:r w:rsidR="002933A3" w:rsidRPr="00250D23">
        <w:rPr>
          <w:lang w:val="fr-CH"/>
        </w:rPr>
        <w:t>United Nations Statistics Division</w:t>
      </w:r>
    </w:p>
    <w:p w:rsidR="002933A3" w:rsidRPr="002933A3" w:rsidRDefault="002933A3" w:rsidP="002933A3">
      <w:pPr>
        <w:autoSpaceDE w:val="0"/>
        <w:autoSpaceDN w:val="0"/>
        <w:adjustRightInd w:val="0"/>
        <w:rPr>
          <w:rFonts w:cs="Arial"/>
          <w:szCs w:val="21"/>
          <w:lang w:val="fr-CH"/>
        </w:rPr>
      </w:pPr>
      <w:r w:rsidRPr="002933A3">
        <w:rPr>
          <w:rFonts w:cs="Arial"/>
          <w:szCs w:val="21"/>
          <w:lang w:val="fr-CH"/>
        </w:rPr>
        <w:lastRenderedPageBreak/>
        <w:t>Pour chaque bande, il convient d’étudier l’utilisation qui en est faite à partir des données récoltées auprès de ces organismes nationaux et internationaux, et de calculer les coûts de déménagement liés à la transposition de cette utilisation sur une autre bande. Cette transposition peut, dans certains cas, nécessiter de lourds investissements suivant qu’il faille renouveler la totalité des équipements, du réseau ou des terminaux.</w:t>
      </w:r>
    </w:p>
    <w:p w:rsidR="002933A3" w:rsidRDefault="002933A3" w:rsidP="00D84292">
      <w:pPr>
        <w:keepNext/>
        <w:rPr>
          <w:szCs w:val="21"/>
          <w:lang w:val="fr-CH"/>
        </w:rPr>
      </w:pPr>
      <w:r w:rsidRPr="002933A3">
        <w:rPr>
          <w:szCs w:val="21"/>
          <w:lang w:val="fr-CH"/>
        </w:rPr>
        <w:t>Le calcul dépend, en particulier, des différents paramètres suivants (liste non exhaustive):</w:t>
      </w:r>
    </w:p>
    <w:p w:rsidR="00D84292" w:rsidRPr="00D84292" w:rsidRDefault="00D84292" w:rsidP="00D84292">
      <w:pPr>
        <w:keepNext/>
        <w:rPr>
          <w:sz w:val="4"/>
          <w:szCs w:val="21"/>
          <w:lang w:val="fr-CH"/>
        </w:rPr>
      </w:pPr>
    </w:p>
    <w:tbl>
      <w:tblPr>
        <w:tblW w:w="0" w:type="auto"/>
        <w:tblLook w:val="01E0" w:firstRow="1" w:lastRow="1" w:firstColumn="1" w:lastColumn="1" w:noHBand="0" w:noVBand="0"/>
      </w:tblPr>
      <w:tblGrid>
        <w:gridCol w:w="4659"/>
        <w:gridCol w:w="4630"/>
      </w:tblGrid>
      <w:tr w:rsidR="002933A3" w:rsidRPr="00AC1B05" w:rsidTr="002933A3">
        <w:tc>
          <w:tcPr>
            <w:tcW w:w="4776" w:type="dxa"/>
          </w:tcPr>
          <w:p w:rsidR="002933A3" w:rsidRPr="00AC1B05" w:rsidRDefault="00D84292" w:rsidP="002933A3">
            <w:pPr>
              <w:pStyle w:val="Liste1"/>
              <w:keepNext/>
              <w:tabs>
                <w:tab w:val="clear" w:pos="360"/>
                <w:tab w:val="num" w:pos="720"/>
              </w:tabs>
              <w:ind w:left="720"/>
              <w:rPr>
                <w:rFonts w:ascii="Calibri" w:hAnsi="Calibri" w:cs="Calibri"/>
                <w:sz w:val="21"/>
                <w:szCs w:val="21"/>
              </w:rPr>
            </w:pPr>
            <w:r w:rsidRPr="00AC1B05">
              <w:rPr>
                <w:rFonts w:ascii="Calibri" w:hAnsi="Calibri" w:cs="Calibri"/>
                <w:position w:val="-10"/>
                <w:sz w:val="21"/>
                <w:szCs w:val="21"/>
              </w:rPr>
              <w:object w:dxaOrig="2120" w:dyaOrig="320">
                <v:shape id="_x0000_i1028" type="#_x0000_t75" style="width:105.5pt;height:16.75pt" o:ole="">
                  <v:imagedata r:id="rId19" o:title=""/>
                </v:shape>
                <o:OLEObject Type="Embed" ProgID="Equation.3" ShapeID="_x0000_i1028" DrawAspect="Content" ObjectID="_1456057549" r:id="rId20"/>
              </w:object>
            </w:r>
            <w:r w:rsidR="002933A3" w:rsidRPr="00AC1B05">
              <w:rPr>
                <w:rFonts w:ascii="Calibri" w:hAnsi="Calibri" w:cs="Calibri"/>
                <w:sz w:val="21"/>
                <w:szCs w:val="21"/>
              </w:rPr>
              <w:t>,</w:t>
            </w:r>
          </w:p>
          <w:p w:rsidR="002933A3" w:rsidRPr="00AC1B05" w:rsidRDefault="00D84292" w:rsidP="002933A3">
            <w:pPr>
              <w:pStyle w:val="Liste1"/>
              <w:keepNext/>
              <w:tabs>
                <w:tab w:val="clear" w:pos="360"/>
                <w:tab w:val="num" w:pos="720"/>
              </w:tabs>
              <w:ind w:left="720"/>
              <w:rPr>
                <w:rFonts w:ascii="Calibri" w:hAnsi="Calibri" w:cs="Calibri"/>
                <w:sz w:val="21"/>
                <w:szCs w:val="21"/>
              </w:rPr>
            </w:pPr>
            <w:r w:rsidRPr="00AC1B05">
              <w:rPr>
                <w:rFonts w:ascii="Calibri" w:hAnsi="Calibri" w:cs="Calibri"/>
                <w:position w:val="-10"/>
                <w:sz w:val="21"/>
                <w:szCs w:val="21"/>
              </w:rPr>
              <w:object w:dxaOrig="2520" w:dyaOrig="320">
                <v:shape id="_x0000_i1029" type="#_x0000_t75" style="width:118.9pt;height:16.75pt" o:ole="">
                  <v:imagedata r:id="rId21" o:title=""/>
                </v:shape>
                <o:OLEObject Type="Embed" ProgID="Equation.3" ShapeID="_x0000_i1029" DrawAspect="Content" ObjectID="_1456057550" r:id="rId22"/>
              </w:object>
            </w:r>
            <w:r w:rsidR="002933A3" w:rsidRPr="00AC1B05">
              <w:rPr>
                <w:rFonts w:ascii="Calibri" w:hAnsi="Calibri" w:cs="Calibri"/>
                <w:sz w:val="21"/>
                <w:szCs w:val="21"/>
              </w:rPr>
              <w:t>,</w:t>
            </w:r>
          </w:p>
          <w:p w:rsidR="002933A3" w:rsidRPr="00AC1B05" w:rsidRDefault="00D84292" w:rsidP="002933A3">
            <w:pPr>
              <w:pStyle w:val="Liste1"/>
              <w:keepNext/>
              <w:tabs>
                <w:tab w:val="clear" w:pos="360"/>
                <w:tab w:val="num" w:pos="720"/>
              </w:tabs>
              <w:ind w:left="720"/>
              <w:rPr>
                <w:rFonts w:ascii="Calibri" w:hAnsi="Calibri" w:cs="Calibri"/>
                <w:sz w:val="21"/>
                <w:szCs w:val="21"/>
              </w:rPr>
            </w:pPr>
            <w:r w:rsidRPr="00AC1B05">
              <w:rPr>
                <w:rFonts w:ascii="Calibri" w:hAnsi="Calibri" w:cs="Calibri"/>
                <w:position w:val="-10"/>
                <w:sz w:val="21"/>
                <w:szCs w:val="21"/>
              </w:rPr>
              <w:object w:dxaOrig="2840" w:dyaOrig="320">
                <v:shape id="_x0000_i1030" type="#_x0000_t75" style="width:129.75pt;height:16.75pt" o:ole="">
                  <v:imagedata r:id="rId23" o:title=""/>
                </v:shape>
                <o:OLEObject Type="Embed" ProgID="Equation.3" ShapeID="_x0000_i1030" DrawAspect="Content" ObjectID="_1456057551" r:id="rId24"/>
              </w:object>
            </w:r>
            <w:r w:rsidR="002933A3" w:rsidRPr="00AC1B05">
              <w:rPr>
                <w:rFonts w:ascii="Calibri" w:hAnsi="Calibri" w:cs="Calibri"/>
                <w:sz w:val="21"/>
                <w:szCs w:val="21"/>
              </w:rPr>
              <w:t>,</w:t>
            </w:r>
          </w:p>
        </w:tc>
        <w:tc>
          <w:tcPr>
            <w:tcW w:w="4776" w:type="dxa"/>
          </w:tcPr>
          <w:p w:rsidR="002933A3" w:rsidRPr="00AC1B05" w:rsidRDefault="00D84292" w:rsidP="002933A3">
            <w:pPr>
              <w:pStyle w:val="Liste1"/>
              <w:keepNext/>
              <w:tabs>
                <w:tab w:val="clear" w:pos="360"/>
                <w:tab w:val="num" w:pos="720"/>
              </w:tabs>
              <w:ind w:left="720"/>
              <w:rPr>
                <w:rFonts w:ascii="Calibri" w:hAnsi="Calibri" w:cs="Calibri"/>
                <w:sz w:val="21"/>
                <w:szCs w:val="21"/>
              </w:rPr>
            </w:pPr>
            <w:r w:rsidRPr="00AC1B05">
              <w:rPr>
                <w:rFonts w:ascii="Calibri" w:hAnsi="Calibri" w:cs="Calibri"/>
                <w:position w:val="-10"/>
                <w:sz w:val="21"/>
                <w:szCs w:val="21"/>
              </w:rPr>
              <w:object w:dxaOrig="2580" w:dyaOrig="320">
                <v:shape id="_x0000_i1031" type="#_x0000_t75" style="width:118.05pt;height:16.75pt" o:ole="">
                  <v:imagedata r:id="rId25" o:title=""/>
                </v:shape>
                <o:OLEObject Type="Embed" ProgID="Equation.3" ShapeID="_x0000_i1031" DrawAspect="Content" ObjectID="_1456057552" r:id="rId26"/>
              </w:object>
            </w:r>
            <w:r w:rsidR="002933A3" w:rsidRPr="00AC1B05">
              <w:rPr>
                <w:rFonts w:ascii="Calibri" w:hAnsi="Calibri" w:cs="Calibri"/>
                <w:sz w:val="21"/>
                <w:szCs w:val="21"/>
              </w:rPr>
              <w:t>,</w:t>
            </w:r>
          </w:p>
          <w:p w:rsidR="002933A3" w:rsidRPr="00AC1B05" w:rsidRDefault="00D84292" w:rsidP="002933A3">
            <w:pPr>
              <w:pStyle w:val="Liste1"/>
              <w:keepNext/>
              <w:tabs>
                <w:tab w:val="clear" w:pos="360"/>
                <w:tab w:val="num" w:pos="720"/>
              </w:tabs>
              <w:ind w:left="720"/>
              <w:rPr>
                <w:rFonts w:ascii="Calibri" w:hAnsi="Calibri" w:cs="Calibri"/>
                <w:sz w:val="21"/>
                <w:szCs w:val="21"/>
              </w:rPr>
            </w:pPr>
            <w:r w:rsidRPr="00AC1B05">
              <w:rPr>
                <w:rFonts w:ascii="Calibri" w:hAnsi="Calibri" w:cs="Calibri"/>
                <w:position w:val="-10"/>
                <w:sz w:val="21"/>
                <w:szCs w:val="21"/>
              </w:rPr>
              <w:object w:dxaOrig="2280" w:dyaOrig="320">
                <v:shape id="_x0000_i1032" type="#_x0000_t75" style="width:109.65pt;height:16.75pt" o:ole="">
                  <v:imagedata r:id="rId27" o:title=""/>
                </v:shape>
                <o:OLEObject Type="Embed" ProgID="Equation.3" ShapeID="_x0000_i1032" DrawAspect="Content" ObjectID="_1456057553" r:id="rId28"/>
              </w:object>
            </w:r>
            <w:r w:rsidR="002933A3" w:rsidRPr="00AC1B05">
              <w:rPr>
                <w:rFonts w:ascii="Calibri" w:hAnsi="Calibri" w:cs="Calibri"/>
                <w:sz w:val="21"/>
                <w:szCs w:val="21"/>
              </w:rPr>
              <w:t>,</w:t>
            </w:r>
          </w:p>
          <w:p w:rsidR="002933A3" w:rsidRPr="00AC1B05" w:rsidRDefault="00D84292" w:rsidP="002933A3">
            <w:pPr>
              <w:pStyle w:val="Liste1"/>
              <w:keepNext/>
              <w:tabs>
                <w:tab w:val="clear" w:pos="360"/>
                <w:tab w:val="num" w:pos="720"/>
              </w:tabs>
              <w:ind w:left="720"/>
              <w:rPr>
                <w:rFonts w:ascii="Calibri" w:hAnsi="Calibri" w:cs="Calibri"/>
                <w:sz w:val="21"/>
                <w:szCs w:val="21"/>
              </w:rPr>
            </w:pPr>
            <w:r w:rsidRPr="00AC1B05">
              <w:rPr>
                <w:rFonts w:ascii="Calibri" w:hAnsi="Calibri" w:cs="Calibri"/>
                <w:position w:val="-10"/>
                <w:sz w:val="21"/>
                <w:szCs w:val="21"/>
              </w:rPr>
              <w:object w:dxaOrig="2299" w:dyaOrig="320">
                <v:shape id="_x0000_i1033" type="#_x0000_t75" style="width:107.15pt;height:16.75pt" o:ole="">
                  <v:imagedata r:id="rId29" o:title=""/>
                </v:shape>
                <o:OLEObject Type="Embed" ProgID="Equation.3" ShapeID="_x0000_i1033" DrawAspect="Content" ObjectID="_1456057554" r:id="rId30"/>
              </w:object>
            </w:r>
            <w:r w:rsidR="002933A3" w:rsidRPr="00AC1B05">
              <w:rPr>
                <w:rFonts w:ascii="Calibri" w:hAnsi="Calibri" w:cs="Calibri"/>
                <w:sz w:val="21"/>
                <w:szCs w:val="21"/>
              </w:rPr>
              <w:t>…</w:t>
            </w:r>
          </w:p>
        </w:tc>
      </w:tr>
    </w:tbl>
    <w:p w:rsidR="00D84292" w:rsidRDefault="00D84292" w:rsidP="00D84292"/>
    <w:p w:rsidR="002933A3" w:rsidRPr="002933A3" w:rsidRDefault="00D84292" w:rsidP="002933A3">
      <w:pPr>
        <w:jc w:val="center"/>
        <w:rPr>
          <w:szCs w:val="21"/>
        </w:rPr>
      </w:pPr>
      <w:r w:rsidRPr="00D84292">
        <w:rPr>
          <w:position w:val="-10"/>
          <w:szCs w:val="21"/>
        </w:rPr>
        <w:object w:dxaOrig="3680" w:dyaOrig="320">
          <v:shape id="_x0000_i1034" type="#_x0000_t75" style="width:184.2pt;height:16.75pt" o:ole="">
            <v:imagedata r:id="rId31" o:title=""/>
          </v:shape>
          <o:OLEObject Type="Embed" ProgID="Equation.3" ShapeID="_x0000_i1034" DrawAspect="Content" ObjectID="_1456057555" r:id="rId32"/>
        </w:object>
      </w:r>
    </w:p>
    <w:p w:rsidR="002933A3" w:rsidRPr="002933A3" w:rsidRDefault="002933A3" w:rsidP="002933A3">
      <w:pPr>
        <w:rPr>
          <w:szCs w:val="21"/>
          <w:lang w:val="fr-CH"/>
        </w:rPr>
      </w:pPr>
      <w:r w:rsidRPr="002933A3">
        <w:rPr>
          <w:rFonts w:cs="Arial"/>
          <w:i/>
          <w:iCs/>
          <w:szCs w:val="21"/>
          <w:lang w:val="fr-CH"/>
        </w:rPr>
        <w:t>*</w:t>
      </w:r>
      <w:r w:rsidR="00D84292">
        <w:rPr>
          <w:rFonts w:cs="Arial"/>
          <w:i/>
          <w:iCs/>
          <w:szCs w:val="21"/>
          <w:lang w:val="fr-CH"/>
        </w:rPr>
        <w:tab/>
      </w:r>
      <w:r w:rsidRPr="002933A3">
        <w:rPr>
          <w:rFonts w:cs="Arial"/>
          <w:i/>
          <w:iCs/>
          <w:szCs w:val="21"/>
          <w:lang w:val="fr-CH"/>
        </w:rPr>
        <w:t>d’autres paramètres peuvent être considérés lors de l’étude</w:t>
      </w:r>
    </w:p>
    <w:p w:rsidR="002933A3" w:rsidRPr="00250D23" w:rsidRDefault="002933A3" w:rsidP="00D84292">
      <w:pPr>
        <w:pStyle w:val="Heading2"/>
        <w:rPr>
          <w:lang w:val="fr-CH"/>
        </w:rPr>
      </w:pPr>
      <w:bookmarkStart w:id="36" w:name="_Toc380408298"/>
      <w:r w:rsidRPr="00250D23">
        <w:rPr>
          <w:lang w:val="fr-CH"/>
        </w:rPr>
        <w:t>2.2</w:t>
      </w:r>
      <w:r w:rsidR="00D84292" w:rsidRPr="00250D23">
        <w:rPr>
          <w:lang w:val="fr-CH"/>
        </w:rPr>
        <w:tab/>
      </w:r>
      <w:r w:rsidRPr="00250D23">
        <w:rPr>
          <w:lang w:val="fr-CH"/>
        </w:rPr>
        <w:t>Valorisation des utilisations potentielles et futures/ Coût d’opportunité</w:t>
      </w:r>
      <w:bookmarkEnd w:id="36"/>
    </w:p>
    <w:p w:rsidR="002933A3" w:rsidRPr="002933A3" w:rsidRDefault="002933A3" w:rsidP="00D84292">
      <w:pPr>
        <w:rPr>
          <w:lang w:val="fr-CH"/>
        </w:rPr>
      </w:pPr>
      <w:r w:rsidRPr="002933A3">
        <w:rPr>
          <w:lang w:val="fr-CH"/>
        </w:rPr>
        <w:t>La valorisation des bandes de fréquences fait en outre intervenir le coût d’opportunité des usages possibles de ces bandes de fréquences. En effet, c’est l’usage fait d’une bande de fréquences qui en détermine sa valeur et il faut donc étudier les usages potentiels associés à chaque bande de fréquences. Pour déterminer la valeur d’un usage potentiel d’une bande de fréquences, on adoptera l’une et/ou l’autre des deux méthodes suivantes :</w:t>
      </w:r>
    </w:p>
    <w:p w:rsidR="002933A3" w:rsidRPr="00250D23" w:rsidRDefault="00D84292" w:rsidP="00D84292">
      <w:pPr>
        <w:pStyle w:val="Enumlevel1"/>
        <w:rPr>
          <w:lang w:val="fr-CH"/>
        </w:rPr>
      </w:pPr>
      <w:r w:rsidRPr="00250D23">
        <w:rPr>
          <w:lang w:val="fr-CH"/>
        </w:rPr>
        <w:t>–</w:t>
      </w:r>
      <w:r w:rsidRPr="00250D23">
        <w:rPr>
          <w:lang w:val="fr-CH"/>
        </w:rPr>
        <w:tab/>
      </w:r>
      <w:r w:rsidR="002933A3" w:rsidRPr="00250D23">
        <w:rPr>
          <w:lang w:val="fr-CH"/>
        </w:rPr>
        <w:t>Méthode du surplus collectif,</w:t>
      </w:r>
    </w:p>
    <w:p w:rsidR="002933A3" w:rsidRPr="00250D23" w:rsidRDefault="00D84292" w:rsidP="00D84292">
      <w:pPr>
        <w:pStyle w:val="Enumlevel1"/>
        <w:rPr>
          <w:lang w:val="fr-CH"/>
        </w:rPr>
      </w:pPr>
      <w:r w:rsidRPr="00250D23">
        <w:rPr>
          <w:lang w:val="fr-CH"/>
        </w:rPr>
        <w:t>–</w:t>
      </w:r>
      <w:r w:rsidRPr="00250D23">
        <w:rPr>
          <w:lang w:val="fr-CH"/>
        </w:rPr>
        <w:tab/>
      </w:r>
      <w:r w:rsidR="002933A3" w:rsidRPr="00250D23">
        <w:rPr>
          <w:lang w:val="fr-CH"/>
        </w:rPr>
        <w:t>Méthode PIB/Emploi.</w:t>
      </w:r>
    </w:p>
    <w:p w:rsidR="002933A3" w:rsidRPr="00250D23" w:rsidRDefault="002933A3" w:rsidP="00D84292">
      <w:pPr>
        <w:pStyle w:val="Heading3"/>
        <w:rPr>
          <w:lang w:val="fr-CH"/>
        </w:rPr>
      </w:pPr>
      <w:bookmarkStart w:id="37" w:name="_Toc380408299"/>
      <w:r w:rsidRPr="00250D23">
        <w:rPr>
          <w:lang w:val="fr-CH"/>
        </w:rPr>
        <w:t>2.2.1</w:t>
      </w:r>
      <w:r w:rsidR="00D84292" w:rsidRPr="00250D23">
        <w:rPr>
          <w:lang w:val="fr-CH"/>
        </w:rPr>
        <w:tab/>
      </w:r>
      <w:r w:rsidRPr="00250D23">
        <w:rPr>
          <w:lang w:val="fr-CH"/>
        </w:rPr>
        <w:t>Méthode du surplus collectif</w:t>
      </w:r>
      <w:bookmarkEnd w:id="37"/>
      <w:r w:rsidRPr="00250D23">
        <w:rPr>
          <w:lang w:val="fr-CH"/>
        </w:rPr>
        <w:t xml:space="preserve"> </w:t>
      </w:r>
    </w:p>
    <w:p w:rsidR="002933A3" w:rsidRPr="002933A3" w:rsidRDefault="002933A3" w:rsidP="002933A3">
      <w:pPr>
        <w:autoSpaceDE w:val="0"/>
        <w:autoSpaceDN w:val="0"/>
        <w:adjustRightInd w:val="0"/>
        <w:rPr>
          <w:rFonts w:cs="Arial"/>
          <w:szCs w:val="21"/>
          <w:lang w:val="fr-CH"/>
        </w:rPr>
      </w:pPr>
      <w:r w:rsidRPr="002933A3">
        <w:rPr>
          <w:rFonts w:cs="Arial"/>
          <w:szCs w:val="21"/>
          <w:lang w:val="fr-CH"/>
        </w:rPr>
        <w:t>Dans le cas où une seule technologie est envisageable pour la bande de fréquences, déterminer la valeur économique de cette bande revient à déterminer la redevance qui maximise le surplus collectif associé à la cession de la bande de fréquences pour cette technologie.</w:t>
      </w:r>
    </w:p>
    <w:p w:rsidR="002933A3" w:rsidRPr="002933A3" w:rsidRDefault="002933A3" w:rsidP="002933A3">
      <w:pPr>
        <w:autoSpaceDE w:val="0"/>
        <w:autoSpaceDN w:val="0"/>
        <w:adjustRightInd w:val="0"/>
        <w:rPr>
          <w:rFonts w:cs="Arial"/>
          <w:szCs w:val="21"/>
          <w:lang w:val="fr-CH"/>
        </w:rPr>
      </w:pPr>
      <w:r w:rsidRPr="002933A3">
        <w:rPr>
          <w:rFonts w:cs="Arial"/>
          <w:szCs w:val="21"/>
          <w:lang w:val="fr-CH"/>
        </w:rPr>
        <w:t>Dans le cas où plusieurs technologies sont envisageables pour la même bande de fréquences, la valeur économique totale est le maximum des redevances associées aux différentes utilisations.</w:t>
      </w:r>
    </w:p>
    <w:p w:rsidR="002933A3" w:rsidRPr="002933A3" w:rsidRDefault="002933A3" w:rsidP="002933A3">
      <w:pPr>
        <w:autoSpaceDE w:val="0"/>
        <w:autoSpaceDN w:val="0"/>
        <w:adjustRightInd w:val="0"/>
        <w:rPr>
          <w:rFonts w:cs="Arial"/>
          <w:szCs w:val="21"/>
          <w:lang w:val="fr-CH"/>
        </w:rPr>
      </w:pPr>
      <w:r w:rsidRPr="002933A3">
        <w:rPr>
          <w:rFonts w:cs="Arial"/>
          <w:szCs w:val="21"/>
          <w:lang w:val="fr-CH"/>
        </w:rPr>
        <w:t>Lors de la cession d’une bande de fréquences, pour une technologie donnée, 3 parties prenantes sont à considérer :</w:t>
      </w:r>
    </w:p>
    <w:p w:rsidR="002933A3" w:rsidRPr="00250D23" w:rsidRDefault="00D84292" w:rsidP="00D84292">
      <w:pPr>
        <w:pStyle w:val="Enumlevel1"/>
        <w:rPr>
          <w:lang w:val="fr-CH"/>
        </w:rPr>
      </w:pPr>
      <w:r w:rsidRPr="00250D23">
        <w:rPr>
          <w:lang w:val="fr-CH"/>
        </w:rPr>
        <w:t>–</w:t>
      </w:r>
      <w:r w:rsidRPr="00250D23">
        <w:rPr>
          <w:lang w:val="fr-CH"/>
        </w:rPr>
        <w:tab/>
      </w:r>
      <w:r w:rsidR="002933A3" w:rsidRPr="00250D23">
        <w:rPr>
          <w:lang w:val="fr-CH"/>
        </w:rPr>
        <w:t>L’Affectataire,</w:t>
      </w:r>
    </w:p>
    <w:p w:rsidR="002933A3" w:rsidRPr="00250D23" w:rsidRDefault="00D84292" w:rsidP="00D84292">
      <w:pPr>
        <w:pStyle w:val="Enumlevel1"/>
        <w:rPr>
          <w:lang w:val="fr-CH"/>
        </w:rPr>
      </w:pPr>
      <w:r w:rsidRPr="00250D23">
        <w:rPr>
          <w:lang w:val="fr-CH"/>
        </w:rPr>
        <w:t>–</w:t>
      </w:r>
      <w:r w:rsidRPr="00250D23">
        <w:rPr>
          <w:lang w:val="fr-CH"/>
        </w:rPr>
        <w:tab/>
      </w:r>
      <w:r w:rsidR="002933A3" w:rsidRPr="00250D23">
        <w:rPr>
          <w:lang w:val="fr-CH"/>
        </w:rPr>
        <w:t>L’opérateur potentiel,</w:t>
      </w:r>
    </w:p>
    <w:p w:rsidR="002933A3" w:rsidRPr="00250D23" w:rsidRDefault="00D84292" w:rsidP="00D84292">
      <w:pPr>
        <w:pStyle w:val="Enumlevel1"/>
        <w:rPr>
          <w:lang w:val="fr-CH"/>
        </w:rPr>
      </w:pPr>
      <w:r w:rsidRPr="00250D23">
        <w:rPr>
          <w:lang w:val="fr-CH"/>
        </w:rPr>
        <w:t>–</w:t>
      </w:r>
      <w:r w:rsidRPr="00250D23">
        <w:rPr>
          <w:lang w:val="fr-CH"/>
        </w:rPr>
        <w:tab/>
      </w:r>
      <w:r w:rsidR="002933A3" w:rsidRPr="00250D23">
        <w:rPr>
          <w:lang w:val="fr-CH"/>
        </w:rPr>
        <w:t>Le consommateur final.</w:t>
      </w:r>
    </w:p>
    <w:p w:rsidR="002933A3" w:rsidRPr="002933A3" w:rsidRDefault="002933A3" w:rsidP="00D84292">
      <w:pPr>
        <w:rPr>
          <w:lang w:val="fr-CH"/>
        </w:rPr>
      </w:pPr>
      <w:r w:rsidRPr="002933A3">
        <w:rPr>
          <w:lang w:val="fr-CH"/>
        </w:rPr>
        <w:t>Le surplus social est alors la somme du surplus de l’affectataire, du surplus de l’opérateur et du surplus du consommateur.</w:t>
      </w:r>
    </w:p>
    <w:p w:rsidR="002933A3" w:rsidRPr="002933A3" w:rsidRDefault="002933A3" w:rsidP="00D84292">
      <w:r w:rsidRPr="002933A3">
        <w:t xml:space="preserve">Dans l’opération, le surplus de l’Affectataire est donné par la formule suivante où R est la redevance perçue par l’Affectataire de la part de l’opérateur et Cd le coût de déménagement supporté par l’Affectataire, c’est à dire les dépenses que devrait supporter l’Affectataire pour déménager ces équipements sur une autre bande de fréquence : </w:t>
      </w:r>
    </w:p>
    <w:p w:rsidR="002933A3" w:rsidRPr="002933A3" w:rsidRDefault="00D84292" w:rsidP="002933A3">
      <w:pPr>
        <w:pStyle w:val="Default"/>
        <w:ind w:left="2124" w:firstLine="708"/>
        <w:rPr>
          <w:rFonts w:ascii="Verdana" w:hAnsi="Verdana"/>
          <w:color w:val="auto"/>
          <w:sz w:val="21"/>
          <w:szCs w:val="21"/>
        </w:rPr>
      </w:pPr>
      <w:r w:rsidRPr="00D84292">
        <w:rPr>
          <w:rFonts w:asciiTheme="minorHAnsi" w:hAnsiTheme="minorHAnsi"/>
          <w:color w:val="auto"/>
          <w:position w:val="-14"/>
          <w:sz w:val="21"/>
          <w:szCs w:val="21"/>
        </w:rPr>
        <w:object w:dxaOrig="2060" w:dyaOrig="360">
          <v:shape id="_x0000_i1035" type="#_x0000_t75" style="width:103pt;height:17.6pt" o:ole="">
            <v:imagedata r:id="rId33" o:title=""/>
          </v:shape>
          <o:OLEObject Type="Embed" ProgID="Equation.3" ShapeID="_x0000_i1035" DrawAspect="Content" ObjectID="_1456057556" r:id="rId34"/>
        </w:object>
      </w:r>
    </w:p>
    <w:p w:rsidR="002933A3" w:rsidRDefault="002933A3" w:rsidP="00D84292">
      <w:pPr>
        <w:rPr>
          <w:lang w:val="fr-CH"/>
        </w:rPr>
      </w:pPr>
      <w:r w:rsidRPr="002933A3">
        <w:rPr>
          <w:lang w:val="fr-CH"/>
        </w:rPr>
        <w:t>Lorsque l’on considère la courbe de demande ci-dessous, il est possible de déterminer les valeurs du surplus de l’opérateur ainsi que le surplus du consommateur final</w:t>
      </w:r>
    </w:p>
    <w:p w:rsidR="00D84292" w:rsidRDefault="00D84292" w:rsidP="00D84292">
      <w:pPr>
        <w:rPr>
          <w:lang w:val="fr-CH"/>
        </w:rPr>
      </w:pPr>
    </w:p>
    <w:p w:rsidR="00D84292" w:rsidRDefault="00D84292" w:rsidP="00D84292">
      <w:pPr>
        <w:pStyle w:val="Figure"/>
      </w:pPr>
      <w:r>
        <w:object w:dxaOrig="8902" w:dyaOrig="6797">
          <v:shape id="_x0000_i1036" type="#_x0000_t75" style="width:444.55pt;height:339.9pt" o:ole="">
            <v:imagedata r:id="rId35" o:title=""/>
          </v:shape>
          <o:OLEObject Type="Embed" ProgID="Word.Document.12" ShapeID="_x0000_i1036" DrawAspect="Content" ObjectID="_1456057557" r:id="rId36">
            <o:FieldCodes>\s</o:FieldCodes>
          </o:OLEObject>
        </w:object>
      </w:r>
    </w:p>
    <w:p w:rsidR="00D84292" w:rsidRPr="002933A3" w:rsidRDefault="00D84292" w:rsidP="00D84292">
      <w:pPr>
        <w:pStyle w:val="Figure"/>
      </w:pPr>
    </w:p>
    <w:p w:rsidR="002933A3" w:rsidRDefault="002933A3" w:rsidP="00D84292"/>
    <w:p w:rsidR="00D84292" w:rsidRPr="002933A3" w:rsidRDefault="00D84292" w:rsidP="00D84292"/>
    <w:tbl>
      <w:tblPr>
        <w:tblW w:w="10129" w:type="dxa"/>
        <w:tblLook w:val="01E0" w:firstRow="1" w:lastRow="1" w:firstColumn="1" w:lastColumn="1" w:noHBand="0" w:noVBand="0"/>
      </w:tblPr>
      <w:tblGrid>
        <w:gridCol w:w="5353"/>
        <w:gridCol w:w="4776"/>
      </w:tblGrid>
      <w:tr w:rsidR="002933A3" w:rsidRPr="002933A3" w:rsidTr="002933A3">
        <w:tc>
          <w:tcPr>
            <w:tcW w:w="5353" w:type="dxa"/>
          </w:tcPr>
          <w:p w:rsidR="002933A3" w:rsidRPr="002933A3" w:rsidRDefault="00D84292" w:rsidP="002933A3">
            <w:pPr>
              <w:pStyle w:val="Liste1"/>
              <w:tabs>
                <w:tab w:val="clear" w:pos="360"/>
                <w:tab w:val="num" w:pos="709"/>
              </w:tabs>
              <w:ind w:left="720"/>
              <w:rPr>
                <w:sz w:val="21"/>
                <w:szCs w:val="21"/>
              </w:rPr>
            </w:pPr>
            <w:r w:rsidRPr="002933A3">
              <w:rPr>
                <w:position w:val="-10"/>
                <w:sz w:val="21"/>
                <w:szCs w:val="21"/>
              </w:rPr>
              <w:object w:dxaOrig="1080" w:dyaOrig="300">
                <v:shape id="_x0000_i1037" type="#_x0000_t75" style="width:54.4pt;height:15.05pt" o:ole="">
                  <v:imagedata r:id="rId37" o:title=""/>
                </v:shape>
                <o:OLEObject Type="Embed" ProgID="Equation.3" ShapeID="_x0000_i1037" DrawAspect="Content" ObjectID="_1456057558" r:id="rId38"/>
              </w:object>
            </w:r>
            <w:r w:rsidR="002933A3" w:rsidRPr="002933A3">
              <w:rPr>
                <w:sz w:val="21"/>
                <w:szCs w:val="21"/>
              </w:rPr>
              <w:t>,</w:t>
            </w:r>
          </w:p>
          <w:p w:rsidR="002933A3" w:rsidRPr="002933A3" w:rsidRDefault="00D84292" w:rsidP="002933A3">
            <w:pPr>
              <w:pStyle w:val="Liste1"/>
              <w:tabs>
                <w:tab w:val="clear" w:pos="360"/>
                <w:tab w:val="num" w:pos="709"/>
              </w:tabs>
              <w:ind w:left="720"/>
              <w:rPr>
                <w:sz w:val="21"/>
                <w:szCs w:val="21"/>
              </w:rPr>
            </w:pPr>
            <w:r w:rsidRPr="002933A3">
              <w:rPr>
                <w:position w:val="-10"/>
                <w:sz w:val="21"/>
                <w:szCs w:val="21"/>
              </w:rPr>
              <w:object w:dxaOrig="740" w:dyaOrig="300">
                <v:shape id="_x0000_i1038" type="#_x0000_t75" style="width:37.65pt;height:15.05pt" o:ole="">
                  <v:imagedata r:id="rId39" o:title=""/>
                </v:shape>
                <o:OLEObject Type="Embed" ProgID="Equation.3" ShapeID="_x0000_i1038" DrawAspect="Content" ObjectID="_1456057559" r:id="rId40"/>
              </w:object>
            </w:r>
            <w:r w:rsidR="002933A3" w:rsidRPr="002933A3">
              <w:rPr>
                <w:sz w:val="21"/>
                <w:szCs w:val="21"/>
              </w:rPr>
              <w:t>,</w:t>
            </w:r>
          </w:p>
          <w:p w:rsidR="002933A3" w:rsidRPr="002933A3" w:rsidRDefault="00F525AA" w:rsidP="002933A3">
            <w:pPr>
              <w:pStyle w:val="Liste1"/>
              <w:tabs>
                <w:tab w:val="clear" w:pos="360"/>
                <w:tab w:val="num" w:pos="709"/>
              </w:tabs>
              <w:ind w:left="720" w:right="-118"/>
              <w:rPr>
                <w:sz w:val="21"/>
                <w:szCs w:val="21"/>
              </w:rPr>
            </w:pPr>
            <w:r w:rsidRPr="002933A3">
              <w:rPr>
                <w:position w:val="-6"/>
                <w:sz w:val="21"/>
                <w:szCs w:val="21"/>
              </w:rPr>
              <w:object w:dxaOrig="1219" w:dyaOrig="260">
                <v:shape id="_x0000_i1039" type="#_x0000_t75" style="width:61.1pt;height:13.4pt" o:ole="">
                  <v:imagedata r:id="rId41" o:title=""/>
                </v:shape>
                <o:OLEObject Type="Embed" ProgID="Equation.3" ShapeID="_x0000_i1039" DrawAspect="Content" ObjectID="_1456057560" r:id="rId42"/>
              </w:object>
            </w:r>
            <w:r w:rsidR="002933A3" w:rsidRPr="002933A3">
              <w:rPr>
                <w:position w:val="-32"/>
                <w:sz w:val="21"/>
                <w:szCs w:val="21"/>
              </w:rPr>
              <w:t xml:space="preserve"> </w:t>
            </w:r>
            <w:r w:rsidR="002933A3" w:rsidRPr="002933A3">
              <w:rPr>
                <w:sz w:val="21"/>
                <w:szCs w:val="21"/>
              </w:rPr>
              <w:t>,</w:t>
            </w:r>
          </w:p>
        </w:tc>
        <w:tc>
          <w:tcPr>
            <w:tcW w:w="4776" w:type="dxa"/>
          </w:tcPr>
          <w:p w:rsidR="002933A3" w:rsidRPr="002933A3" w:rsidRDefault="00D84292" w:rsidP="002933A3">
            <w:pPr>
              <w:pStyle w:val="Liste1"/>
              <w:tabs>
                <w:tab w:val="clear" w:pos="360"/>
                <w:tab w:val="num" w:pos="176"/>
              </w:tabs>
              <w:ind w:left="720" w:hanging="828"/>
              <w:rPr>
                <w:sz w:val="21"/>
                <w:szCs w:val="21"/>
              </w:rPr>
            </w:pPr>
            <w:r w:rsidRPr="00D84292">
              <w:rPr>
                <w:position w:val="-10"/>
                <w:sz w:val="21"/>
                <w:szCs w:val="21"/>
              </w:rPr>
              <w:object w:dxaOrig="2500" w:dyaOrig="320">
                <v:shape id="_x0000_i1040" type="#_x0000_t75" style="width:125.6pt;height:16.75pt" o:ole="">
                  <v:imagedata r:id="rId43" o:title=""/>
                </v:shape>
                <o:OLEObject Type="Embed" ProgID="Equation.3" ShapeID="_x0000_i1040" DrawAspect="Content" ObjectID="_1456057561" r:id="rId44"/>
              </w:object>
            </w:r>
            <w:r w:rsidR="002933A3" w:rsidRPr="002933A3">
              <w:rPr>
                <w:sz w:val="21"/>
                <w:szCs w:val="21"/>
              </w:rPr>
              <w:t>,</w:t>
            </w:r>
          </w:p>
          <w:p w:rsidR="002933A3" w:rsidRPr="002933A3" w:rsidRDefault="00D84292" w:rsidP="002933A3">
            <w:pPr>
              <w:pStyle w:val="Liste1"/>
              <w:tabs>
                <w:tab w:val="clear" w:pos="360"/>
                <w:tab w:val="num" w:pos="176"/>
              </w:tabs>
              <w:ind w:left="720" w:hanging="828"/>
              <w:rPr>
                <w:sz w:val="21"/>
                <w:szCs w:val="21"/>
              </w:rPr>
            </w:pPr>
            <w:r w:rsidRPr="00D84292">
              <w:rPr>
                <w:position w:val="-10"/>
                <w:sz w:val="21"/>
                <w:szCs w:val="21"/>
              </w:rPr>
              <w:object w:dxaOrig="2460" w:dyaOrig="320">
                <v:shape id="_x0000_i1041" type="#_x0000_t75" style="width:123.05pt;height:16.75pt" o:ole="">
                  <v:imagedata r:id="rId45" o:title=""/>
                </v:shape>
                <o:OLEObject Type="Embed" ProgID="Equation.3" ShapeID="_x0000_i1041" DrawAspect="Content" ObjectID="_1456057562" r:id="rId46"/>
              </w:object>
            </w:r>
            <w:r w:rsidR="002933A3" w:rsidRPr="002933A3">
              <w:rPr>
                <w:sz w:val="21"/>
                <w:szCs w:val="21"/>
              </w:rPr>
              <w:t>,</w:t>
            </w:r>
          </w:p>
          <w:p w:rsidR="002933A3" w:rsidRPr="002933A3" w:rsidRDefault="00D84292" w:rsidP="00D84292">
            <w:pPr>
              <w:pStyle w:val="Liste1"/>
              <w:tabs>
                <w:tab w:val="clear" w:pos="360"/>
                <w:tab w:val="num" w:pos="176"/>
              </w:tabs>
              <w:ind w:left="720" w:hanging="828"/>
              <w:rPr>
                <w:sz w:val="21"/>
                <w:szCs w:val="21"/>
              </w:rPr>
            </w:pPr>
            <w:r w:rsidRPr="002933A3">
              <w:rPr>
                <w:position w:val="-10"/>
                <w:sz w:val="21"/>
                <w:szCs w:val="21"/>
              </w:rPr>
              <w:object w:dxaOrig="2220" w:dyaOrig="300">
                <v:shape id="_x0000_i1042" type="#_x0000_t75" style="width:111.35pt;height:15.05pt" o:ole="">
                  <v:imagedata r:id="rId47" o:title=""/>
                </v:shape>
                <o:OLEObject Type="Embed" ProgID="Equation.3" ShapeID="_x0000_i1042" DrawAspect="Content" ObjectID="_1456057563" r:id="rId48"/>
              </w:object>
            </w:r>
            <w:r w:rsidR="002933A3" w:rsidRPr="002933A3">
              <w:rPr>
                <w:sz w:val="21"/>
                <w:szCs w:val="21"/>
              </w:rPr>
              <w:t>.</w:t>
            </w:r>
          </w:p>
        </w:tc>
      </w:tr>
    </w:tbl>
    <w:p w:rsidR="00D84292" w:rsidRDefault="00D84292" w:rsidP="00D84292"/>
    <w:p w:rsidR="002933A3" w:rsidRPr="002933A3" w:rsidRDefault="00D84292" w:rsidP="002933A3">
      <w:pPr>
        <w:jc w:val="center"/>
        <w:rPr>
          <w:b/>
          <w:position w:val="-14"/>
          <w:szCs w:val="21"/>
          <w:u w:val="single"/>
        </w:rPr>
      </w:pPr>
      <w:r w:rsidRPr="002933A3">
        <w:rPr>
          <w:position w:val="-14"/>
          <w:szCs w:val="21"/>
        </w:rPr>
        <w:object w:dxaOrig="4020" w:dyaOrig="360">
          <v:shape id="_x0000_i1043" type="#_x0000_t75" style="width:200.95pt;height:17.6pt" o:ole="">
            <v:imagedata r:id="rId49" o:title=""/>
          </v:shape>
          <o:OLEObject Type="Embed" ProgID="Equation.3" ShapeID="_x0000_i1043" DrawAspect="Content" ObjectID="_1456057564" r:id="rId50"/>
        </w:object>
      </w:r>
    </w:p>
    <w:p w:rsidR="002933A3" w:rsidRPr="002933A3" w:rsidRDefault="002933A3" w:rsidP="00D84292">
      <w:pPr>
        <w:rPr>
          <w:szCs w:val="21"/>
          <w:lang w:val="fr-CH"/>
        </w:rPr>
      </w:pPr>
      <w:r w:rsidRPr="002933A3">
        <w:rPr>
          <w:szCs w:val="21"/>
          <w:lang w:val="fr-CH"/>
        </w:rPr>
        <w:t>L’idée générale de maximiser le surplus social est alors exprimé de la manière suivante:</w:t>
      </w:r>
    </w:p>
    <w:p w:rsidR="002933A3" w:rsidRPr="002933A3" w:rsidRDefault="00D84292" w:rsidP="002933A3">
      <w:pPr>
        <w:rPr>
          <w:szCs w:val="21"/>
        </w:rPr>
      </w:pPr>
      <w:r>
        <w:rPr>
          <w:szCs w:val="21"/>
        </w:rPr>
        <w:tab/>
      </w:r>
      <w:r w:rsidRPr="002933A3">
        <w:rPr>
          <w:position w:val="-22"/>
          <w:szCs w:val="21"/>
        </w:rPr>
        <w:object w:dxaOrig="6860" w:dyaOrig="440">
          <v:shape id="_x0000_i1044" type="#_x0000_t75" style="width:343.25pt;height:22.6pt" o:ole="">
            <v:imagedata r:id="rId51" o:title=""/>
          </v:shape>
          <o:OLEObject Type="Embed" ProgID="Equation.3" ShapeID="_x0000_i1044" DrawAspect="Content" ObjectID="_1456057565" r:id="rId52"/>
        </w:object>
      </w:r>
    </w:p>
    <w:p w:rsidR="002933A3" w:rsidRPr="002933A3" w:rsidRDefault="002933A3" w:rsidP="002933A3">
      <w:pPr>
        <w:rPr>
          <w:szCs w:val="21"/>
          <w:lang w:val="fr-CH"/>
        </w:rPr>
      </w:pPr>
      <w:r w:rsidRPr="002933A3">
        <w:rPr>
          <w:szCs w:val="21"/>
          <w:lang w:val="fr-CH"/>
        </w:rPr>
        <w:t>Par la suite, l’objectif est de trouver la redevance maximum possible en ajoutant la contrainte de profit de l’opérateur qui s’exprime de la manière suivante M étant la marge en % souhaitée par l’opérateur :</w:t>
      </w:r>
    </w:p>
    <w:p w:rsidR="002933A3" w:rsidRPr="002933A3" w:rsidRDefault="00F525AA" w:rsidP="002933A3">
      <w:pPr>
        <w:jc w:val="center"/>
        <w:rPr>
          <w:szCs w:val="21"/>
        </w:rPr>
      </w:pPr>
      <w:r w:rsidRPr="00D84292">
        <w:rPr>
          <w:position w:val="-10"/>
          <w:szCs w:val="21"/>
        </w:rPr>
        <w:object w:dxaOrig="3340" w:dyaOrig="320">
          <v:shape id="_x0000_i1045" type="#_x0000_t75" style="width:166.6pt;height:16.75pt" o:ole="">
            <v:imagedata r:id="rId53" o:title=""/>
          </v:shape>
          <o:OLEObject Type="Embed" ProgID="Equation.3" ShapeID="_x0000_i1045" DrawAspect="Content" ObjectID="_1456057566" r:id="rId54"/>
        </w:object>
      </w:r>
    </w:p>
    <w:p w:rsidR="002933A3" w:rsidRPr="002933A3" w:rsidRDefault="002933A3" w:rsidP="002933A3">
      <w:pPr>
        <w:rPr>
          <w:szCs w:val="21"/>
          <w:lang w:val="fr-CH"/>
        </w:rPr>
      </w:pPr>
      <w:r w:rsidRPr="002933A3">
        <w:rPr>
          <w:szCs w:val="21"/>
          <w:lang w:val="fr-CH"/>
        </w:rPr>
        <w:t>En prenant la limite de cette contrainte (l’égalité), on peut déterminer pour une valeur de la redevance R donnée une valeur de Q. C’est à dire que l’on obtient Q en fonction de R.</w:t>
      </w:r>
    </w:p>
    <w:p w:rsidR="002933A3" w:rsidRPr="002933A3" w:rsidRDefault="002933A3" w:rsidP="002933A3">
      <w:pPr>
        <w:rPr>
          <w:szCs w:val="21"/>
        </w:rPr>
      </w:pPr>
      <w:r w:rsidRPr="002933A3">
        <w:rPr>
          <w:szCs w:val="21"/>
          <w:lang w:val="fr-CH"/>
        </w:rPr>
        <w:lastRenderedPageBreak/>
        <w:t xml:space="preserve">Ensuite pour déterminer la redevance maximale il suffit de trouver la redevance R qui maximise le maximum sur Q du surplus social. </w:t>
      </w:r>
      <w:r w:rsidRPr="002933A3">
        <w:rPr>
          <w:szCs w:val="21"/>
        </w:rPr>
        <w:t>C’est à dire déterminer R de :</w:t>
      </w:r>
    </w:p>
    <w:p w:rsidR="002933A3" w:rsidRPr="002933A3" w:rsidRDefault="00F525AA" w:rsidP="002933A3">
      <w:pPr>
        <w:jc w:val="center"/>
        <w:rPr>
          <w:position w:val="-34"/>
          <w:szCs w:val="21"/>
        </w:rPr>
      </w:pPr>
      <w:r w:rsidRPr="002933A3">
        <w:rPr>
          <w:position w:val="-36"/>
          <w:szCs w:val="21"/>
        </w:rPr>
        <w:object w:dxaOrig="3700" w:dyaOrig="840">
          <v:shape id="_x0000_i1046" type="#_x0000_t75" style="width:185pt;height:41.85pt" o:ole="">
            <v:imagedata r:id="rId55" o:title=""/>
          </v:shape>
          <o:OLEObject Type="Embed" ProgID="Equation.3" ShapeID="_x0000_i1046" DrawAspect="Content" ObjectID="_1456057567" r:id="rId56"/>
        </w:object>
      </w:r>
    </w:p>
    <w:p w:rsidR="002933A3" w:rsidRPr="002933A3" w:rsidRDefault="002933A3" w:rsidP="002933A3">
      <w:pPr>
        <w:rPr>
          <w:szCs w:val="21"/>
          <w:lang w:val="fr-CH"/>
        </w:rPr>
      </w:pPr>
      <w:r w:rsidRPr="002933A3">
        <w:rPr>
          <w:szCs w:val="21"/>
          <w:lang w:val="fr-CH"/>
        </w:rPr>
        <w:t xml:space="preserve">Afin de comparer les valeurs des différentes utilisations possibles d’une même bande de fréquences, on compare leurs redevances associées. Pour être économiquement efficace, l’allocation de la bande de fréquences doit se faire à l’utilisation dont la redevance est maximale. </w:t>
      </w:r>
    </w:p>
    <w:p w:rsidR="002933A3" w:rsidRPr="002933A3" w:rsidRDefault="002933A3" w:rsidP="002933A3">
      <w:pPr>
        <w:rPr>
          <w:szCs w:val="21"/>
          <w:lang w:val="fr-CH"/>
        </w:rPr>
      </w:pPr>
      <w:r w:rsidRPr="002933A3">
        <w:rPr>
          <w:szCs w:val="21"/>
          <w:lang w:val="fr-CH"/>
        </w:rPr>
        <w:t>La valeur économique de la bande correspond alors à la redevance maximale sur l’éventail des utilisations possibles :</w:t>
      </w:r>
    </w:p>
    <w:p w:rsidR="002933A3" w:rsidRPr="002933A3" w:rsidRDefault="00F525AA" w:rsidP="002933A3">
      <w:pPr>
        <w:jc w:val="center"/>
        <w:rPr>
          <w:b/>
          <w:szCs w:val="21"/>
        </w:rPr>
      </w:pPr>
      <w:r w:rsidRPr="002933A3">
        <w:rPr>
          <w:position w:val="-22"/>
          <w:szCs w:val="21"/>
        </w:rPr>
        <w:object w:dxaOrig="3760" w:dyaOrig="440">
          <v:shape id="_x0000_i1047" type="#_x0000_t75" style="width:188.35pt;height:22.6pt" o:ole="">
            <v:imagedata r:id="rId57" o:title=""/>
          </v:shape>
          <o:OLEObject Type="Embed" ProgID="Equation.3" ShapeID="_x0000_i1047" DrawAspect="Content" ObjectID="_1456057568" r:id="rId58"/>
        </w:object>
      </w:r>
    </w:p>
    <w:p w:rsidR="002933A3" w:rsidRPr="00250D23" w:rsidRDefault="002933A3" w:rsidP="00F525AA">
      <w:pPr>
        <w:pStyle w:val="Heading3"/>
        <w:rPr>
          <w:lang w:val="fr-CH"/>
        </w:rPr>
      </w:pPr>
      <w:bookmarkStart w:id="38" w:name="_Toc380408300"/>
      <w:r w:rsidRPr="00250D23">
        <w:rPr>
          <w:lang w:val="fr-CH"/>
        </w:rPr>
        <w:t>2.2.2</w:t>
      </w:r>
      <w:r w:rsidR="00F525AA" w:rsidRPr="00250D23">
        <w:rPr>
          <w:lang w:val="fr-CH"/>
        </w:rPr>
        <w:tab/>
      </w:r>
      <w:r w:rsidRPr="00250D23">
        <w:rPr>
          <w:lang w:val="fr-CH"/>
        </w:rPr>
        <w:t>Méthode PIB/Emploi</w:t>
      </w:r>
      <w:bookmarkEnd w:id="38"/>
    </w:p>
    <w:p w:rsidR="002933A3" w:rsidRPr="002933A3" w:rsidRDefault="002933A3" w:rsidP="002933A3">
      <w:pPr>
        <w:autoSpaceDE w:val="0"/>
        <w:autoSpaceDN w:val="0"/>
        <w:adjustRightInd w:val="0"/>
        <w:rPr>
          <w:rFonts w:cs="Arial"/>
          <w:szCs w:val="21"/>
          <w:lang w:val="fr-CH"/>
        </w:rPr>
      </w:pPr>
      <w:r w:rsidRPr="002933A3">
        <w:rPr>
          <w:rFonts w:cs="Arial"/>
          <w:szCs w:val="21"/>
          <w:lang w:val="fr-CH"/>
        </w:rPr>
        <w:t xml:space="preserve">Cette méthode se concentre sur l’effet de l’utilisation d’une bande de fréquences sur l’économie à l’échelle du territoire national. Elle n’est pas systématiquement applicable pour chacune des bandes de fréquences de l’Affectataire. En effet, elle nécessite d’avoir une utilisation potentielle dont l’impact est mesurable à grande échelle. </w:t>
      </w:r>
    </w:p>
    <w:p w:rsidR="002933A3" w:rsidRPr="002933A3" w:rsidRDefault="002933A3" w:rsidP="002933A3">
      <w:pPr>
        <w:autoSpaceDE w:val="0"/>
        <w:autoSpaceDN w:val="0"/>
        <w:adjustRightInd w:val="0"/>
        <w:rPr>
          <w:rFonts w:cs="Arial"/>
          <w:szCs w:val="21"/>
          <w:lang w:val="fr-CH"/>
        </w:rPr>
      </w:pPr>
      <w:r w:rsidRPr="002933A3">
        <w:rPr>
          <w:rFonts w:cs="Arial"/>
          <w:szCs w:val="21"/>
          <w:lang w:val="fr-CH"/>
        </w:rPr>
        <w:t xml:space="preserve">Lorsque c’est le cas, il convient d’étudier les différents impacts apportés par l’apparition d’une technologie sur le PIB. On considère alors, dans un premier temps, l’effet direct sur le PIB lié à la consommation des ménages et aux investissements des opérateurs. Dans un second temps, on étudie l’effet indirect résultant de l’utilisation de nouveaux produits ou services sur le reste de l’économie. Enfin, on corrige la somme de ces effets directs et indirects par les effets de « déplacement » qui tiennent compte du fait qu’une partie des dépenses des ménages pourraient se tourner vers d’autres secteurs. </w:t>
      </w:r>
    </w:p>
    <w:p w:rsidR="002933A3" w:rsidRPr="002933A3" w:rsidRDefault="002933A3" w:rsidP="002933A3">
      <w:pPr>
        <w:autoSpaceDE w:val="0"/>
        <w:autoSpaceDN w:val="0"/>
        <w:adjustRightInd w:val="0"/>
        <w:rPr>
          <w:rFonts w:cs="Arial"/>
          <w:szCs w:val="21"/>
          <w:lang w:val="fr-CH"/>
        </w:rPr>
      </w:pPr>
      <w:r w:rsidRPr="002933A3">
        <w:rPr>
          <w:rFonts w:cs="Arial"/>
          <w:szCs w:val="21"/>
          <w:lang w:val="fr-CH"/>
        </w:rPr>
        <w:t>Empiriquement, on sait que les deux variables PIB et Emploi sont corrélées. Lorsqu’on a calculé un accroissement de PIB lié à l’utilisation d’une nouvelle application, on peut déterminer l’accroissement du niveau de l’Emploi associé.</w:t>
      </w:r>
    </w:p>
    <w:p w:rsidR="002933A3" w:rsidRPr="002933A3" w:rsidRDefault="002933A3" w:rsidP="002933A3">
      <w:pPr>
        <w:autoSpaceDE w:val="0"/>
        <w:autoSpaceDN w:val="0"/>
        <w:adjustRightInd w:val="0"/>
        <w:rPr>
          <w:rFonts w:cs="Arial"/>
          <w:szCs w:val="21"/>
          <w:lang w:val="fr-CH"/>
        </w:rPr>
      </w:pPr>
      <w:r w:rsidRPr="002933A3">
        <w:rPr>
          <w:rFonts w:cs="Arial"/>
          <w:szCs w:val="21"/>
          <w:lang w:val="fr-CH"/>
        </w:rPr>
        <w:t>Afin de comparer les valeurs des différentes utilisations possibles d’une même bande de fréquence, on compare leurs impacts respectifs sur l’emploi et sur le PIB. Pour être économiquement efficace, l’allocation de la bande de fréquences doit être effectuée au bénéfice de l’utilisation dont l’impact sur le PIB et l’emploi est le plus conséquent.</w:t>
      </w:r>
    </w:p>
    <w:p w:rsidR="002933A3" w:rsidRPr="002933A3" w:rsidRDefault="002933A3" w:rsidP="002933A3">
      <w:pPr>
        <w:autoSpaceDE w:val="0"/>
        <w:autoSpaceDN w:val="0"/>
        <w:adjustRightInd w:val="0"/>
        <w:rPr>
          <w:rFonts w:cs="Arial"/>
          <w:szCs w:val="21"/>
          <w:lang w:val="fr-CH"/>
        </w:rPr>
      </w:pPr>
      <w:r w:rsidRPr="002933A3">
        <w:rPr>
          <w:rFonts w:cs="Arial"/>
          <w:szCs w:val="21"/>
          <w:lang w:val="fr-CH"/>
        </w:rPr>
        <w:t>La valeur économique d’une bande de fréquences dépend donc de son impact mesuré sur le PIB et l’emploi :</w:t>
      </w:r>
    </w:p>
    <w:p w:rsidR="002933A3" w:rsidRPr="002933A3" w:rsidRDefault="002933A3" w:rsidP="002933A3">
      <w:pPr>
        <w:autoSpaceDE w:val="0"/>
        <w:autoSpaceDN w:val="0"/>
        <w:adjustRightInd w:val="0"/>
        <w:jc w:val="center"/>
        <w:rPr>
          <w:rFonts w:ascii="Symbol" w:hAnsi="Symbol" w:cs="Symbol"/>
          <w:szCs w:val="21"/>
          <w:lang w:val="fr-CH"/>
        </w:rPr>
      </w:pPr>
      <w:r w:rsidRPr="002933A3">
        <w:rPr>
          <w:rFonts w:ascii="Times New Roman" w:hAnsi="Times New Roman"/>
          <w:i/>
          <w:iCs/>
          <w:szCs w:val="21"/>
          <w:lang w:val="fr-CH"/>
        </w:rPr>
        <w:t>Valeur(Bande) =  fonction</w:t>
      </w:r>
      <w:r w:rsidRPr="002933A3">
        <w:rPr>
          <w:rFonts w:ascii="Symbol" w:hAnsi="Symbol" w:cs="Symbol"/>
          <w:szCs w:val="21"/>
        </w:rPr>
        <w:t></w:t>
      </w:r>
      <w:r w:rsidRPr="002933A3">
        <w:rPr>
          <w:rFonts w:ascii="Symbol" w:hAnsi="Symbol" w:cs="Symbol"/>
          <w:szCs w:val="21"/>
        </w:rPr>
        <w:t></w:t>
      </w:r>
      <w:r w:rsidRPr="002933A3">
        <w:rPr>
          <w:rFonts w:ascii="Times New Roman" w:hAnsi="Times New Roman"/>
          <w:i/>
          <w:iCs/>
          <w:szCs w:val="21"/>
          <w:lang w:val="fr-CH"/>
        </w:rPr>
        <w:t>PIB Emploi</w:t>
      </w:r>
      <w:r w:rsidRPr="002933A3">
        <w:rPr>
          <w:rFonts w:ascii="Symbol" w:hAnsi="Symbol" w:cs="Symbol"/>
          <w:szCs w:val="21"/>
        </w:rPr>
        <w:t></w:t>
      </w:r>
      <w:r w:rsidRPr="002933A3">
        <w:rPr>
          <w:rFonts w:ascii="Symbol" w:hAnsi="Symbol" w:cs="Symbol"/>
          <w:szCs w:val="21"/>
        </w:rPr>
        <w:t></w:t>
      </w:r>
    </w:p>
    <w:p w:rsidR="002933A3" w:rsidRPr="00250D23" w:rsidRDefault="002933A3" w:rsidP="00F525AA">
      <w:pPr>
        <w:pStyle w:val="HeadingB"/>
        <w:rPr>
          <w:lang w:val="fr-CH"/>
        </w:rPr>
      </w:pPr>
      <w:r w:rsidRPr="00250D23">
        <w:rPr>
          <w:lang w:val="fr-CH"/>
        </w:rPr>
        <w:t>Conclusion:</w:t>
      </w:r>
    </w:p>
    <w:p w:rsidR="002933A3" w:rsidRPr="002933A3" w:rsidRDefault="002933A3" w:rsidP="002933A3">
      <w:pPr>
        <w:autoSpaceDE w:val="0"/>
        <w:autoSpaceDN w:val="0"/>
        <w:adjustRightInd w:val="0"/>
        <w:rPr>
          <w:rFonts w:cs="Arial"/>
          <w:bCs/>
          <w:szCs w:val="21"/>
          <w:lang w:val="fr-CH"/>
        </w:rPr>
      </w:pPr>
      <w:r w:rsidRPr="002933A3">
        <w:rPr>
          <w:rFonts w:cs="Arial,Bold"/>
          <w:szCs w:val="21"/>
          <w:lang w:val="fr-CH"/>
        </w:rPr>
        <w:t>On considère donc le coût d’opportunité de la bande de fréquence</w:t>
      </w:r>
      <w:r w:rsidRPr="002933A3">
        <w:rPr>
          <w:rFonts w:cs="Arial"/>
          <w:szCs w:val="21"/>
          <w:lang w:val="fr-CH"/>
        </w:rPr>
        <w:t>s comme une fonction des valeurs économiques issues des deux méthodes décrites précédemment en 2.1 et 2.2 :</w:t>
      </w:r>
    </w:p>
    <w:p w:rsidR="002933A3" w:rsidRPr="002933A3" w:rsidRDefault="002933A3" w:rsidP="002933A3">
      <w:pPr>
        <w:autoSpaceDE w:val="0"/>
        <w:autoSpaceDN w:val="0"/>
        <w:adjustRightInd w:val="0"/>
        <w:ind w:firstLine="708"/>
        <w:jc w:val="center"/>
        <w:rPr>
          <w:rFonts w:ascii="Symbol" w:hAnsi="Symbol" w:cs="Symbol"/>
          <w:szCs w:val="21"/>
          <w:lang w:val="fr-CH"/>
        </w:rPr>
      </w:pPr>
      <w:r w:rsidRPr="002933A3">
        <w:rPr>
          <w:rFonts w:ascii="Times New Roman" w:hAnsi="Times New Roman"/>
          <w:i/>
          <w:iCs/>
          <w:szCs w:val="21"/>
          <w:lang w:val="fr-CH"/>
        </w:rPr>
        <w:t xml:space="preserve">Co =  fonction </w:t>
      </w:r>
      <w:r w:rsidRPr="002933A3">
        <w:rPr>
          <w:rFonts w:ascii="Symbol" w:hAnsi="Symbol" w:cs="Symbol"/>
          <w:szCs w:val="21"/>
        </w:rPr>
        <w:t></w:t>
      </w:r>
      <w:r w:rsidRPr="002933A3">
        <w:rPr>
          <w:rFonts w:ascii="Times New Roman" w:hAnsi="Times New Roman"/>
          <w:i/>
          <w:iCs/>
          <w:szCs w:val="21"/>
          <w:lang w:val="fr-CH"/>
        </w:rPr>
        <w:t>R, PIB,  Emploi</w:t>
      </w:r>
      <w:r w:rsidRPr="002933A3">
        <w:rPr>
          <w:rFonts w:ascii="Symbol" w:hAnsi="Symbol" w:cs="Symbol"/>
          <w:szCs w:val="21"/>
        </w:rPr>
        <w:t></w:t>
      </w:r>
      <w:r w:rsidRPr="002933A3">
        <w:rPr>
          <w:rFonts w:ascii="Symbol" w:hAnsi="Symbol" w:cs="Symbol"/>
          <w:szCs w:val="21"/>
        </w:rPr>
        <w:t></w:t>
      </w:r>
    </w:p>
    <w:p w:rsidR="002933A3" w:rsidRPr="002933A3" w:rsidRDefault="002933A3" w:rsidP="002933A3">
      <w:pPr>
        <w:autoSpaceDE w:val="0"/>
        <w:autoSpaceDN w:val="0"/>
        <w:adjustRightInd w:val="0"/>
        <w:rPr>
          <w:rFonts w:cs="Arial"/>
          <w:bCs/>
          <w:szCs w:val="21"/>
          <w:lang w:val="fr-CH"/>
        </w:rPr>
      </w:pPr>
      <w:r w:rsidRPr="002933A3">
        <w:rPr>
          <w:rFonts w:cs="Arial,Bold"/>
          <w:szCs w:val="21"/>
          <w:lang w:val="fr-CH"/>
        </w:rPr>
        <w:t xml:space="preserve">Lorsqu’une seule méthode est mise en œuvre, on a seulement </w:t>
      </w:r>
      <w:r w:rsidRPr="002933A3">
        <w:rPr>
          <w:rFonts w:cs="Arial"/>
          <w:szCs w:val="21"/>
          <w:lang w:val="fr-CH"/>
        </w:rPr>
        <w:t>:</w:t>
      </w:r>
    </w:p>
    <w:p w:rsidR="002933A3" w:rsidRPr="002933A3" w:rsidRDefault="00F525AA" w:rsidP="002933A3">
      <w:pPr>
        <w:autoSpaceDE w:val="0"/>
        <w:autoSpaceDN w:val="0"/>
        <w:adjustRightInd w:val="0"/>
        <w:ind w:firstLine="708"/>
        <w:rPr>
          <w:rFonts w:ascii="Symbol" w:hAnsi="Symbol" w:cs="Symbol"/>
          <w:szCs w:val="21"/>
          <w:lang w:val="fr-CH"/>
        </w:rPr>
      </w:pPr>
      <w:r>
        <w:rPr>
          <w:rFonts w:ascii="Times New Roman" w:hAnsi="Times New Roman"/>
          <w:i/>
          <w:iCs/>
          <w:szCs w:val="21"/>
          <w:lang w:val="fr-CH"/>
        </w:rPr>
        <w:tab/>
      </w:r>
      <w:r w:rsidR="002933A3" w:rsidRPr="002933A3">
        <w:rPr>
          <w:rFonts w:ascii="Times New Roman" w:hAnsi="Times New Roman"/>
          <w:i/>
          <w:iCs/>
          <w:szCs w:val="21"/>
          <w:lang w:val="fr-CH"/>
        </w:rPr>
        <w:t xml:space="preserve">Co =  fonction </w:t>
      </w:r>
      <w:r w:rsidR="002933A3" w:rsidRPr="002933A3">
        <w:rPr>
          <w:rFonts w:ascii="Symbol" w:hAnsi="Symbol" w:cs="Symbol"/>
          <w:szCs w:val="21"/>
        </w:rPr>
        <w:t></w:t>
      </w:r>
      <w:r w:rsidR="002933A3" w:rsidRPr="002933A3">
        <w:rPr>
          <w:rFonts w:ascii="Times New Roman" w:hAnsi="Times New Roman"/>
          <w:i/>
          <w:iCs/>
          <w:szCs w:val="21"/>
          <w:lang w:val="fr-CH"/>
        </w:rPr>
        <w:t>R</w:t>
      </w:r>
      <w:r w:rsidR="002933A3" w:rsidRPr="002933A3">
        <w:rPr>
          <w:rFonts w:ascii="Symbol" w:hAnsi="Symbol" w:cs="Symbol"/>
          <w:szCs w:val="21"/>
        </w:rPr>
        <w:t></w:t>
      </w:r>
      <w:r w:rsidR="002933A3" w:rsidRPr="002933A3">
        <w:rPr>
          <w:rFonts w:ascii="Symbol" w:hAnsi="Symbol" w:cs="Symbol"/>
          <w:szCs w:val="21"/>
        </w:rPr>
        <w:t></w:t>
      </w:r>
      <w:r w:rsidR="002933A3" w:rsidRPr="002933A3">
        <w:rPr>
          <w:rFonts w:ascii="Times New Roman" w:hAnsi="Times New Roman"/>
          <w:i/>
          <w:iCs/>
          <w:szCs w:val="21"/>
          <w:lang w:val="fr-CH"/>
        </w:rPr>
        <w:tab/>
      </w:r>
      <w:r w:rsidR="002933A3" w:rsidRPr="002933A3">
        <w:rPr>
          <w:rFonts w:ascii="Times New Roman" w:hAnsi="Times New Roman"/>
          <w:i/>
          <w:iCs/>
          <w:szCs w:val="21"/>
          <w:lang w:val="fr-CH"/>
        </w:rPr>
        <w:tab/>
      </w:r>
      <w:r w:rsidR="002933A3" w:rsidRPr="002933A3">
        <w:rPr>
          <w:rFonts w:cs="Arial"/>
          <w:szCs w:val="21"/>
          <w:lang w:val="fr-CH"/>
        </w:rPr>
        <w:t xml:space="preserve">ou   </w:t>
      </w:r>
      <w:r w:rsidR="002933A3" w:rsidRPr="002933A3">
        <w:rPr>
          <w:rFonts w:cs="Arial"/>
          <w:b/>
          <w:szCs w:val="21"/>
          <w:lang w:val="fr-CH"/>
        </w:rPr>
        <w:t xml:space="preserve"> </w:t>
      </w:r>
      <w:r w:rsidR="002933A3" w:rsidRPr="002933A3">
        <w:rPr>
          <w:rFonts w:ascii="Times New Roman" w:hAnsi="Times New Roman"/>
          <w:i/>
          <w:iCs/>
          <w:szCs w:val="21"/>
          <w:lang w:val="fr-CH"/>
        </w:rPr>
        <w:t xml:space="preserve">Co =  fonction </w:t>
      </w:r>
      <w:r w:rsidR="002933A3" w:rsidRPr="002933A3">
        <w:rPr>
          <w:rFonts w:ascii="Symbol" w:hAnsi="Symbol" w:cs="Symbol"/>
          <w:szCs w:val="21"/>
        </w:rPr>
        <w:t></w:t>
      </w:r>
      <w:r w:rsidR="002933A3" w:rsidRPr="002933A3">
        <w:rPr>
          <w:rFonts w:ascii="Times New Roman" w:hAnsi="Times New Roman"/>
          <w:i/>
          <w:iCs/>
          <w:szCs w:val="21"/>
          <w:lang w:val="fr-CH"/>
        </w:rPr>
        <w:t>PIB Emploi</w:t>
      </w:r>
      <w:r w:rsidR="002933A3" w:rsidRPr="002933A3">
        <w:rPr>
          <w:rFonts w:ascii="Symbol" w:hAnsi="Symbol" w:cs="Symbol"/>
          <w:szCs w:val="21"/>
        </w:rPr>
        <w:t></w:t>
      </w:r>
      <w:r w:rsidR="002933A3" w:rsidRPr="002933A3">
        <w:rPr>
          <w:rFonts w:ascii="Symbol" w:hAnsi="Symbol" w:cs="Symbol"/>
          <w:szCs w:val="21"/>
        </w:rPr>
        <w:t></w:t>
      </w:r>
    </w:p>
    <w:p w:rsidR="002933A3" w:rsidRPr="00250D23" w:rsidRDefault="002933A3" w:rsidP="00F525AA">
      <w:pPr>
        <w:pStyle w:val="Heading2"/>
        <w:rPr>
          <w:lang w:val="fr-CH"/>
        </w:rPr>
      </w:pPr>
      <w:bookmarkStart w:id="39" w:name="_Toc380408301"/>
      <w:r w:rsidRPr="00250D23">
        <w:rPr>
          <w:iCs/>
          <w:lang w:val="fr-CH"/>
        </w:rPr>
        <w:t>2.</w:t>
      </w:r>
      <w:r w:rsidRPr="00250D23">
        <w:rPr>
          <w:lang w:val="fr-CH"/>
        </w:rPr>
        <w:t>3.</w:t>
      </w:r>
      <w:r w:rsidR="00F525AA" w:rsidRPr="00250D23">
        <w:rPr>
          <w:lang w:val="fr-CH"/>
        </w:rPr>
        <w:tab/>
      </w:r>
      <w:r w:rsidRPr="00250D23">
        <w:rPr>
          <w:lang w:val="fr-CH"/>
        </w:rPr>
        <w:t>Correction de la valeur</w:t>
      </w:r>
      <w:bookmarkEnd w:id="39"/>
    </w:p>
    <w:p w:rsidR="002933A3" w:rsidRPr="002933A3" w:rsidRDefault="002933A3" w:rsidP="002933A3">
      <w:pPr>
        <w:autoSpaceDE w:val="0"/>
        <w:autoSpaceDN w:val="0"/>
        <w:adjustRightInd w:val="0"/>
        <w:rPr>
          <w:rFonts w:cs="Arial"/>
          <w:szCs w:val="21"/>
          <w:lang w:val="fr-CH"/>
        </w:rPr>
      </w:pPr>
      <w:r w:rsidRPr="002933A3">
        <w:rPr>
          <w:rFonts w:cs="Arial"/>
          <w:szCs w:val="21"/>
          <w:lang w:val="fr-CH"/>
        </w:rPr>
        <w:t xml:space="preserve">Les méthodes précédentes permettent d’estimer la valeur des bandes de fréquences, cependant, certains paramètres importants peuvent altérer cette valeur. En effet, suivant les contraintes liées à l’utilisation d’une bande de fréquences, sa valeur peut en être modifiée par exemple, une utilisation partagée d’une </w:t>
      </w:r>
      <w:r w:rsidRPr="002933A3">
        <w:rPr>
          <w:rFonts w:cs="Arial"/>
          <w:szCs w:val="21"/>
          <w:lang w:val="fr-CH"/>
        </w:rPr>
        <w:lastRenderedPageBreak/>
        <w:t>même bande de fréquences. Suivant l’occupation spectrale de chacune des utilisations et des risques de brouillage, le coût d’opportunité de la bande peut être modifié à la baisse.</w:t>
      </w:r>
    </w:p>
    <w:p w:rsidR="002933A3" w:rsidRPr="002933A3" w:rsidRDefault="002933A3" w:rsidP="002933A3">
      <w:pPr>
        <w:autoSpaceDE w:val="0"/>
        <w:autoSpaceDN w:val="0"/>
        <w:adjustRightInd w:val="0"/>
        <w:rPr>
          <w:rFonts w:cs="Arial"/>
          <w:szCs w:val="21"/>
          <w:lang w:val="fr-CH"/>
        </w:rPr>
      </w:pPr>
      <w:r w:rsidRPr="002933A3">
        <w:rPr>
          <w:rFonts w:cs="Arial"/>
          <w:szCs w:val="21"/>
          <w:lang w:val="fr-CH"/>
        </w:rPr>
        <w:t>D’autre part, si l’Affectataire associe à la cession d’une bande de fréquences des contraintes en termes d’obligation de couverture géographique (80% d’un territoire par exemple), sa valeur économique peut être impactée car les opérateurs intéressés peuvent potentiellement subir des manques à gagner sur certaines zones.</w:t>
      </w:r>
    </w:p>
    <w:p w:rsidR="002933A3" w:rsidRPr="002933A3" w:rsidRDefault="002933A3" w:rsidP="002933A3">
      <w:pPr>
        <w:autoSpaceDE w:val="0"/>
        <w:autoSpaceDN w:val="0"/>
        <w:adjustRightInd w:val="0"/>
        <w:rPr>
          <w:rFonts w:cs="Arial"/>
          <w:szCs w:val="21"/>
          <w:lang w:val="fr-CH"/>
        </w:rPr>
      </w:pPr>
      <w:r w:rsidRPr="002933A3">
        <w:rPr>
          <w:rFonts w:cs="Arial"/>
          <w:szCs w:val="21"/>
          <w:lang w:val="fr-CH"/>
        </w:rPr>
        <w:t>Enfin, si l’on considère une bande de fréquences soumise au marché secondaire, le propriétaire de la bande peut céder tout ou partie de cette bande et tirer des bénéfices supplémentaires de l’acquisition de cette bande. Cet effet aura donc un impact non négligeable sur la valeur économique de la bande.</w:t>
      </w:r>
    </w:p>
    <w:p w:rsidR="002933A3" w:rsidRPr="002933A3" w:rsidRDefault="002933A3" w:rsidP="002933A3">
      <w:pPr>
        <w:autoSpaceDE w:val="0"/>
        <w:autoSpaceDN w:val="0"/>
        <w:adjustRightInd w:val="0"/>
        <w:rPr>
          <w:rFonts w:cs="Arial"/>
          <w:szCs w:val="21"/>
          <w:lang w:val="fr-CH"/>
        </w:rPr>
      </w:pPr>
      <w:r w:rsidRPr="002933A3">
        <w:rPr>
          <w:rFonts w:cs="Arial"/>
          <w:szCs w:val="21"/>
          <w:lang w:val="fr-CH"/>
        </w:rPr>
        <w:t>Les différents paramètres suivants, entre autres, influent sur la valeur économique des bandes de fréquences et doivent donc être considérés pour chacune de celles-ci :</w:t>
      </w:r>
    </w:p>
    <w:p w:rsidR="002933A3" w:rsidRPr="002933A3" w:rsidRDefault="00F525AA" w:rsidP="002933A3">
      <w:pPr>
        <w:pStyle w:val="Liste1"/>
        <w:tabs>
          <w:tab w:val="clear" w:pos="360"/>
          <w:tab w:val="num" w:pos="720"/>
        </w:tabs>
        <w:ind w:left="720"/>
        <w:rPr>
          <w:rFonts w:ascii="Verdana" w:hAnsi="Verdana"/>
          <w:sz w:val="21"/>
          <w:szCs w:val="21"/>
        </w:rPr>
      </w:pPr>
      <w:r w:rsidRPr="002933A3">
        <w:rPr>
          <w:rFonts w:ascii="Verdana" w:hAnsi="Verdana"/>
          <w:position w:val="-10"/>
          <w:sz w:val="21"/>
          <w:szCs w:val="21"/>
        </w:rPr>
        <w:object w:dxaOrig="2520" w:dyaOrig="320">
          <v:shape id="_x0000_i1048" type="#_x0000_t75" style="width:126.4pt;height:16.75pt" o:ole="">
            <v:imagedata r:id="rId59" o:title=""/>
          </v:shape>
          <o:OLEObject Type="Embed" ProgID="Equation.3" ShapeID="_x0000_i1048" DrawAspect="Content" ObjectID="_1456057569" r:id="rId60"/>
        </w:object>
      </w:r>
      <w:r w:rsidR="002933A3" w:rsidRPr="002933A3">
        <w:rPr>
          <w:rFonts w:ascii="Verdana" w:hAnsi="Verdana"/>
          <w:sz w:val="21"/>
          <w:szCs w:val="21"/>
        </w:rPr>
        <w:t>,</w:t>
      </w:r>
    </w:p>
    <w:p w:rsidR="002933A3" w:rsidRPr="002933A3" w:rsidRDefault="00F525AA" w:rsidP="002933A3">
      <w:pPr>
        <w:pStyle w:val="Liste1"/>
        <w:tabs>
          <w:tab w:val="clear" w:pos="360"/>
          <w:tab w:val="num" w:pos="720"/>
        </w:tabs>
        <w:ind w:left="720"/>
        <w:rPr>
          <w:rFonts w:ascii="Verdana" w:hAnsi="Verdana"/>
          <w:sz w:val="21"/>
          <w:szCs w:val="21"/>
        </w:rPr>
      </w:pPr>
      <w:r w:rsidRPr="00F525AA">
        <w:rPr>
          <w:rFonts w:ascii="Verdana" w:hAnsi="Verdana"/>
          <w:position w:val="-10"/>
          <w:sz w:val="21"/>
          <w:szCs w:val="21"/>
        </w:rPr>
        <w:object w:dxaOrig="2120" w:dyaOrig="320">
          <v:shape id="_x0000_i1049" type="#_x0000_t75" style="width:99.65pt;height:16.75pt" o:ole="">
            <v:imagedata r:id="rId61" o:title=""/>
          </v:shape>
          <o:OLEObject Type="Embed" ProgID="Equation.3" ShapeID="_x0000_i1049" DrawAspect="Content" ObjectID="_1456057570" r:id="rId62"/>
        </w:object>
      </w:r>
    </w:p>
    <w:p w:rsidR="002933A3" w:rsidRPr="002933A3" w:rsidRDefault="00F525AA" w:rsidP="002933A3">
      <w:pPr>
        <w:pStyle w:val="Liste1"/>
        <w:tabs>
          <w:tab w:val="clear" w:pos="360"/>
          <w:tab w:val="num" w:pos="720"/>
        </w:tabs>
        <w:ind w:left="720"/>
        <w:rPr>
          <w:rFonts w:ascii="Verdana" w:hAnsi="Verdana"/>
          <w:sz w:val="21"/>
          <w:szCs w:val="21"/>
        </w:rPr>
      </w:pPr>
      <w:r w:rsidRPr="002933A3">
        <w:rPr>
          <w:rFonts w:ascii="Verdana" w:hAnsi="Verdana"/>
          <w:position w:val="-10"/>
          <w:sz w:val="21"/>
          <w:szCs w:val="21"/>
        </w:rPr>
        <w:object w:dxaOrig="2640" w:dyaOrig="320">
          <v:shape id="_x0000_i1050" type="#_x0000_t75" style="width:132.3pt;height:16.75pt" o:ole="">
            <v:imagedata r:id="rId63" o:title=""/>
          </v:shape>
          <o:OLEObject Type="Embed" ProgID="Equation.3" ShapeID="_x0000_i1050" DrawAspect="Content" ObjectID="_1456057571" r:id="rId64"/>
        </w:object>
      </w:r>
      <w:r w:rsidR="002933A3" w:rsidRPr="002933A3">
        <w:rPr>
          <w:rFonts w:ascii="Verdana" w:hAnsi="Verdana"/>
          <w:sz w:val="21"/>
          <w:szCs w:val="21"/>
        </w:rPr>
        <w:t>,</w:t>
      </w:r>
    </w:p>
    <w:p w:rsidR="002933A3" w:rsidRPr="002933A3" w:rsidRDefault="00F525AA" w:rsidP="002933A3">
      <w:pPr>
        <w:pStyle w:val="Liste1"/>
        <w:tabs>
          <w:tab w:val="clear" w:pos="360"/>
          <w:tab w:val="num" w:pos="720"/>
        </w:tabs>
        <w:ind w:left="720"/>
        <w:rPr>
          <w:rFonts w:ascii="Verdana" w:hAnsi="Verdana"/>
          <w:sz w:val="21"/>
          <w:szCs w:val="21"/>
        </w:rPr>
      </w:pPr>
      <w:r w:rsidRPr="002933A3">
        <w:rPr>
          <w:rFonts w:ascii="Verdana" w:hAnsi="Verdana"/>
          <w:position w:val="-10"/>
          <w:sz w:val="21"/>
          <w:szCs w:val="21"/>
        </w:rPr>
        <w:object w:dxaOrig="4280" w:dyaOrig="320">
          <v:shape id="_x0000_i1051" type="#_x0000_t75" style="width:214.35pt;height:16.75pt" o:ole="">
            <v:imagedata r:id="rId65" o:title=""/>
          </v:shape>
          <o:OLEObject Type="Embed" ProgID="Equation.3" ShapeID="_x0000_i1051" DrawAspect="Content" ObjectID="_1456057572" r:id="rId66"/>
        </w:object>
      </w:r>
      <w:r w:rsidR="002933A3" w:rsidRPr="002933A3">
        <w:rPr>
          <w:rFonts w:ascii="Verdana" w:hAnsi="Verdana"/>
          <w:sz w:val="21"/>
          <w:szCs w:val="21"/>
        </w:rPr>
        <w:t>,</w:t>
      </w:r>
    </w:p>
    <w:p w:rsidR="002933A3" w:rsidRPr="002933A3" w:rsidRDefault="00F525AA" w:rsidP="002933A3">
      <w:pPr>
        <w:pStyle w:val="Liste1"/>
        <w:tabs>
          <w:tab w:val="clear" w:pos="360"/>
          <w:tab w:val="num" w:pos="720"/>
        </w:tabs>
        <w:ind w:left="720"/>
        <w:rPr>
          <w:rFonts w:ascii="Verdana" w:hAnsi="Verdana"/>
          <w:sz w:val="21"/>
          <w:szCs w:val="21"/>
        </w:rPr>
      </w:pPr>
      <w:r w:rsidRPr="00F525AA">
        <w:rPr>
          <w:rFonts w:ascii="Verdana" w:hAnsi="Verdana"/>
          <w:position w:val="-10"/>
          <w:sz w:val="21"/>
          <w:szCs w:val="21"/>
        </w:rPr>
        <w:object w:dxaOrig="4140" w:dyaOrig="320">
          <v:shape id="_x0000_i1052" type="#_x0000_t75" style="width:207.65pt;height:16.75pt" o:ole="">
            <v:imagedata r:id="rId67" o:title=""/>
          </v:shape>
          <o:OLEObject Type="Embed" ProgID="Equation.3" ShapeID="_x0000_i1052" DrawAspect="Content" ObjectID="_1456057573" r:id="rId68"/>
        </w:object>
      </w:r>
      <w:r w:rsidR="002933A3" w:rsidRPr="002933A3">
        <w:rPr>
          <w:rFonts w:ascii="Verdana" w:hAnsi="Verdana"/>
          <w:sz w:val="21"/>
          <w:szCs w:val="21"/>
        </w:rPr>
        <w:t>…</w:t>
      </w:r>
    </w:p>
    <w:p w:rsidR="002933A3" w:rsidRPr="002933A3" w:rsidRDefault="002E40A7" w:rsidP="002933A3">
      <w:pPr>
        <w:ind w:firstLine="360"/>
        <w:jc w:val="center"/>
        <w:rPr>
          <w:b/>
          <w:szCs w:val="21"/>
        </w:rPr>
      </w:pPr>
      <w:r w:rsidRPr="00F525AA">
        <w:rPr>
          <w:b/>
          <w:position w:val="-10"/>
          <w:szCs w:val="21"/>
        </w:rPr>
        <w:object w:dxaOrig="3260" w:dyaOrig="320">
          <v:shape id="_x0000_i1053" type="#_x0000_t75" style="width:162.4pt;height:16.75pt" o:ole="">
            <v:imagedata r:id="rId69" o:title=""/>
          </v:shape>
          <o:OLEObject Type="Embed" ProgID="Equation.3" ShapeID="_x0000_i1053" DrawAspect="Content" ObjectID="_1456057574" r:id="rId70"/>
        </w:object>
      </w:r>
    </w:p>
    <w:p w:rsidR="002933A3" w:rsidRPr="002933A3" w:rsidRDefault="002933A3" w:rsidP="00F525AA">
      <w:pPr>
        <w:tabs>
          <w:tab w:val="left" w:pos="709"/>
        </w:tabs>
        <w:ind w:left="360"/>
        <w:rPr>
          <w:i/>
          <w:szCs w:val="21"/>
          <w:lang w:val="fr-CH"/>
        </w:rPr>
      </w:pPr>
      <w:r w:rsidRPr="002933A3">
        <w:rPr>
          <w:i/>
          <w:szCs w:val="21"/>
          <w:lang w:val="fr-CH"/>
        </w:rPr>
        <w:t>*</w:t>
      </w:r>
      <w:r w:rsidR="00F525AA">
        <w:rPr>
          <w:i/>
          <w:szCs w:val="21"/>
          <w:lang w:val="fr-CH"/>
        </w:rPr>
        <w:tab/>
      </w:r>
      <w:r w:rsidRPr="002933A3">
        <w:rPr>
          <w:i/>
          <w:szCs w:val="21"/>
          <w:lang w:val="fr-CH"/>
        </w:rPr>
        <w:t>d’autres paramètres pourront être considérés lors de l’étude</w:t>
      </w:r>
    </w:p>
    <w:p w:rsidR="002933A3" w:rsidRPr="002933A3" w:rsidRDefault="002933A3" w:rsidP="002933A3">
      <w:pPr>
        <w:autoSpaceDE w:val="0"/>
        <w:autoSpaceDN w:val="0"/>
        <w:adjustRightInd w:val="0"/>
        <w:rPr>
          <w:rFonts w:cs="Arial"/>
          <w:szCs w:val="21"/>
          <w:lang w:val="fr-CH"/>
        </w:rPr>
      </w:pPr>
      <w:r w:rsidRPr="002933A3">
        <w:rPr>
          <w:rFonts w:cs="Arial"/>
          <w:szCs w:val="21"/>
          <w:lang w:val="fr-CH"/>
        </w:rPr>
        <w:t>Remarque :</w:t>
      </w:r>
    </w:p>
    <w:p w:rsidR="002933A3" w:rsidRPr="002933A3" w:rsidRDefault="002933A3" w:rsidP="002933A3">
      <w:pPr>
        <w:autoSpaceDE w:val="0"/>
        <w:autoSpaceDN w:val="0"/>
        <w:adjustRightInd w:val="0"/>
        <w:rPr>
          <w:rFonts w:cs="Arial"/>
          <w:szCs w:val="21"/>
          <w:lang w:val="fr-CH"/>
        </w:rPr>
      </w:pPr>
      <w:r w:rsidRPr="002933A3">
        <w:rPr>
          <w:rFonts w:cs="Arial"/>
          <w:szCs w:val="21"/>
          <w:lang w:val="fr-CH"/>
        </w:rPr>
        <w:t>Suivant les bandes de fréquences, l’étude de leurs valorisations n’induit pas la même somme de travail : le calcul du coût d’opportunité d’une bande de fréquence sur laquelle plusieurs technologies sont susceptibles d’être implantées peut s’avérer lourd, tandis que la valeur d’une bande de fréquence sur laquelle aucune technologie n’est prévue sera réduite au coût de déménagement qui sera obtenu sur la base des données « Affectataire ». Une organisation rationnelle des études se doit de prendre en compte ces particularités en priorisant les différentes tâches pour chaque bande de fréquence considérée : une première segmentation des bandes de fréquences pourra être établie par exemple en fonction du nombre et du type d’usage envisagés.</w:t>
      </w:r>
    </w:p>
    <w:p w:rsidR="002933A3" w:rsidRPr="002933A3" w:rsidRDefault="002933A3" w:rsidP="002933A3">
      <w:pPr>
        <w:autoSpaceDE w:val="0"/>
        <w:autoSpaceDN w:val="0"/>
        <w:adjustRightInd w:val="0"/>
        <w:rPr>
          <w:rFonts w:cs="Arial"/>
          <w:szCs w:val="21"/>
          <w:lang w:val="fr-CH"/>
        </w:rPr>
      </w:pPr>
      <w:r w:rsidRPr="002933A3">
        <w:rPr>
          <w:rFonts w:cs="Arial"/>
          <w:szCs w:val="21"/>
          <w:lang w:val="fr-CH"/>
        </w:rPr>
        <w:t xml:space="preserve">On peut en effet considérer que le calcul de la valeur économique d’une bande de fréquences sera d’autant plus complexe et nécessitera d’autant plus de données que le nombre d’usages potentiels sera important et que les usages potentiels toucheront le public le plus large. </w:t>
      </w:r>
    </w:p>
    <w:p w:rsidR="00F525AA" w:rsidRDefault="00F525AA">
      <w:pPr>
        <w:spacing w:before="0"/>
        <w:jc w:val="left"/>
        <w:rPr>
          <w:b/>
          <w:szCs w:val="21"/>
        </w:rPr>
      </w:pPr>
      <w:r>
        <w:rPr>
          <w:b/>
          <w:szCs w:val="21"/>
        </w:rPr>
        <w:br w:type="page"/>
      </w:r>
    </w:p>
    <w:p w:rsidR="002933A3" w:rsidRPr="002933A3" w:rsidRDefault="002933A3" w:rsidP="000C0181">
      <w:pPr>
        <w:pStyle w:val="Heading1"/>
      </w:pPr>
      <w:bookmarkStart w:id="40" w:name="_Toc380408302"/>
      <w:r w:rsidRPr="002933A3">
        <w:lastRenderedPageBreak/>
        <w:t>Annex 5: Case studies of methods of calculating spectrum fees</w:t>
      </w:r>
      <w:bookmarkEnd w:id="40"/>
    </w:p>
    <w:p w:rsidR="002933A3" w:rsidRPr="002933A3" w:rsidRDefault="002933A3" w:rsidP="000C0181">
      <w:pPr>
        <w:pStyle w:val="Heading2"/>
      </w:pPr>
      <w:bookmarkStart w:id="41" w:name="_Toc380408303"/>
      <w:r w:rsidRPr="002933A3">
        <w:t>5.1</w:t>
      </w:r>
      <w:r w:rsidRPr="002933A3">
        <w:tab/>
        <w:t>Case of Bangladesh</w:t>
      </w:r>
      <w:bookmarkEnd w:id="41"/>
    </w:p>
    <w:p w:rsidR="002933A3" w:rsidRPr="00250D23" w:rsidRDefault="002933A3" w:rsidP="000C0181">
      <w:pPr>
        <w:rPr>
          <w:lang w:val="en-US"/>
        </w:rPr>
      </w:pPr>
      <w:r w:rsidRPr="00250D23">
        <w:rPr>
          <w:lang w:val="en-US"/>
        </w:rPr>
        <w:t>The spectrum charges shall be calculated using the following formula.</w:t>
      </w:r>
    </w:p>
    <w:p w:rsidR="002933A3" w:rsidRPr="00250D23" w:rsidRDefault="002933A3" w:rsidP="002933A3">
      <w:pPr>
        <w:jc w:val="center"/>
        <w:rPr>
          <w:b/>
          <w:bCs/>
          <w:szCs w:val="21"/>
          <w:lang w:val="en-US"/>
        </w:rPr>
      </w:pPr>
      <w:r w:rsidRPr="00250D23">
        <w:rPr>
          <w:b/>
          <w:szCs w:val="21"/>
          <w:lang w:val="en-US"/>
        </w:rPr>
        <w:t>Spectrum Charges in Taka = STU × CF × BW × AF × BF</w:t>
      </w:r>
    </w:p>
    <w:p w:rsidR="002933A3" w:rsidRPr="00250D23" w:rsidRDefault="002933A3" w:rsidP="002933A3">
      <w:pPr>
        <w:rPr>
          <w:szCs w:val="21"/>
          <w:lang w:val="en-US"/>
        </w:rPr>
      </w:pPr>
      <w:r w:rsidRPr="00250D23">
        <w:rPr>
          <w:szCs w:val="21"/>
          <w:lang w:val="en-US"/>
        </w:rPr>
        <w:t>where:</w:t>
      </w:r>
    </w:p>
    <w:p w:rsidR="002933A3" w:rsidRPr="002933A3" w:rsidRDefault="002933A3" w:rsidP="002E40A7">
      <w:pPr>
        <w:pStyle w:val="Enumlevel1"/>
      </w:pPr>
      <w:r w:rsidRPr="002933A3">
        <w:tab/>
        <w:t>i)</w:t>
      </w:r>
      <w:r w:rsidRPr="002933A3">
        <w:tab/>
        <w:t>STU = Spectrum Tariff Unit = Tk. 60.00 per MHz per 5  km</w:t>
      </w:r>
      <w:r w:rsidRPr="002933A3">
        <w:rPr>
          <w:vertAlign w:val="superscript"/>
        </w:rPr>
        <w:t>2</w:t>
      </w:r>
    </w:p>
    <w:p w:rsidR="002933A3" w:rsidRDefault="002E40A7" w:rsidP="002E40A7">
      <w:pPr>
        <w:pStyle w:val="Enumlevel1"/>
      </w:pPr>
      <w:r>
        <w:tab/>
      </w:r>
      <w:r w:rsidR="002933A3" w:rsidRPr="002933A3">
        <w:t>ii</w:t>
      </w:r>
      <w:r w:rsidR="002933A3" w:rsidRPr="002933A3">
        <w:tab/>
        <w:t>CF = Contribution Factor for Access Frequency has been fixed considering Assignment of frequency, use of assigned frequency and subscriber base:</w:t>
      </w:r>
    </w:p>
    <w:p w:rsidR="002E40A7" w:rsidRPr="002933A3" w:rsidRDefault="002E40A7" w:rsidP="002E40A7">
      <w:pPr>
        <w:pStyle w:val="Enumlevel1"/>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4948"/>
        <w:gridCol w:w="2474"/>
      </w:tblGrid>
      <w:tr w:rsidR="002933A3" w:rsidRPr="002E40A7" w:rsidTr="002E40A7">
        <w:trPr>
          <w:jc w:val="center"/>
        </w:trPr>
        <w:tc>
          <w:tcPr>
            <w:tcW w:w="1134" w:type="dxa"/>
            <w:tcBorders>
              <w:bottom w:val="single" w:sz="4" w:space="0" w:color="auto"/>
            </w:tcBorders>
            <w:shd w:val="clear" w:color="auto" w:fill="005173"/>
            <w:vAlign w:val="center"/>
          </w:tcPr>
          <w:p w:rsidR="002933A3" w:rsidRPr="002E40A7" w:rsidRDefault="002933A3" w:rsidP="002E40A7">
            <w:pPr>
              <w:pStyle w:val="Tablehead"/>
            </w:pPr>
            <w:r w:rsidRPr="002E40A7">
              <w:t>Sl. #</w:t>
            </w:r>
          </w:p>
        </w:tc>
        <w:tc>
          <w:tcPr>
            <w:tcW w:w="3402" w:type="dxa"/>
            <w:tcBorders>
              <w:bottom w:val="single" w:sz="4" w:space="0" w:color="auto"/>
            </w:tcBorders>
            <w:shd w:val="clear" w:color="auto" w:fill="005173"/>
            <w:vAlign w:val="center"/>
          </w:tcPr>
          <w:p w:rsidR="002933A3" w:rsidRPr="002E40A7" w:rsidRDefault="002933A3" w:rsidP="002E40A7">
            <w:pPr>
              <w:pStyle w:val="Tablehead"/>
            </w:pPr>
            <w:r w:rsidRPr="002E40A7">
              <w:t>Subscriber base related to use of frequency</w:t>
            </w:r>
            <w:r w:rsidRPr="002E40A7">
              <w:br/>
              <w:t>(lower limit inclusive and upper limit exclusive)</w:t>
            </w:r>
          </w:p>
        </w:tc>
        <w:tc>
          <w:tcPr>
            <w:tcW w:w="1701" w:type="dxa"/>
            <w:tcBorders>
              <w:bottom w:val="single" w:sz="4" w:space="0" w:color="auto"/>
            </w:tcBorders>
            <w:shd w:val="clear" w:color="auto" w:fill="005173"/>
            <w:vAlign w:val="center"/>
          </w:tcPr>
          <w:p w:rsidR="002933A3" w:rsidRPr="002E40A7" w:rsidRDefault="002933A3" w:rsidP="002E40A7">
            <w:pPr>
              <w:pStyle w:val="Tablehead"/>
            </w:pPr>
            <w:r w:rsidRPr="002E40A7">
              <w:t>CF</w:t>
            </w:r>
          </w:p>
        </w:tc>
      </w:tr>
      <w:tr w:rsidR="002933A3" w:rsidRPr="002E40A7" w:rsidTr="002E40A7">
        <w:trPr>
          <w:jc w:val="center"/>
        </w:trPr>
        <w:tc>
          <w:tcPr>
            <w:tcW w:w="1134" w:type="dxa"/>
            <w:shd w:val="clear" w:color="auto" w:fill="E8F8FD"/>
          </w:tcPr>
          <w:p w:rsidR="002933A3" w:rsidRPr="002E40A7" w:rsidRDefault="002933A3" w:rsidP="002E40A7">
            <w:pPr>
              <w:pStyle w:val="Tabletext"/>
            </w:pPr>
            <w:r w:rsidRPr="002E40A7">
              <w:t>1.</w:t>
            </w:r>
          </w:p>
        </w:tc>
        <w:tc>
          <w:tcPr>
            <w:tcW w:w="3402" w:type="dxa"/>
            <w:shd w:val="clear" w:color="auto" w:fill="E8F8FD"/>
          </w:tcPr>
          <w:p w:rsidR="002933A3" w:rsidRPr="002E40A7" w:rsidRDefault="002933A3" w:rsidP="002E40A7">
            <w:pPr>
              <w:pStyle w:val="Tabletext"/>
            </w:pPr>
            <w:r w:rsidRPr="002E40A7">
              <w:t>From 0 to 2 million</w:t>
            </w:r>
          </w:p>
        </w:tc>
        <w:tc>
          <w:tcPr>
            <w:tcW w:w="1701" w:type="dxa"/>
            <w:shd w:val="clear" w:color="auto" w:fill="E8F8FD"/>
          </w:tcPr>
          <w:p w:rsidR="002933A3" w:rsidRPr="002E40A7" w:rsidRDefault="002933A3" w:rsidP="002E40A7">
            <w:pPr>
              <w:pStyle w:val="Tabletext"/>
              <w:jc w:val="center"/>
            </w:pPr>
            <w:r w:rsidRPr="002E40A7">
              <w:t>0.70</w:t>
            </w:r>
          </w:p>
        </w:tc>
      </w:tr>
      <w:tr w:rsidR="002933A3" w:rsidRPr="002E40A7" w:rsidTr="002E40A7">
        <w:trPr>
          <w:jc w:val="center"/>
        </w:trPr>
        <w:tc>
          <w:tcPr>
            <w:tcW w:w="1134" w:type="dxa"/>
            <w:tcBorders>
              <w:bottom w:val="single" w:sz="4" w:space="0" w:color="auto"/>
            </w:tcBorders>
          </w:tcPr>
          <w:p w:rsidR="002933A3" w:rsidRPr="002E40A7" w:rsidRDefault="002933A3" w:rsidP="002E40A7">
            <w:pPr>
              <w:pStyle w:val="Tabletext"/>
            </w:pPr>
            <w:r w:rsidRPr="002E40A7">
              <w:t>2.</w:t>
            </w:r>
          </w:p>
        </w:tc>
        <w:tc>
          <w:tcPr>
            <w:tcW w:w="3402" w:type="dxa"/>
            <w:tcBorders>
              <w:bottom w:val="single" w:sz="4" w:space="0" w:color="auto"/>
            </w:tcBorders>
          </w:tcPr>
          <w:p w:rsidR="002933A3" w:rsidRPr="002E40A7" w:rsidRDefault="002933A3" w:rsidP="002E40A7">
            <w:pPr>
              <w:pStyle w:val="Tabletext"/>
            </w:pPr>
            <w:r w:rsidRPr="002E40A7">
              <w:t>From 2 to 5 million</w:t>
            </w:r>
          </w:p>
        </w:tc>
        <w:tc>
          <w:tcPr>
            <w:tcW w:w="1701" w:type="dxa"/>
            <w:tcBorders>
              <w:bottom w:val="single" w:sz="4" w:space="0" w:color="auto"/>
            </w:tcBorders>
          </w:tcPr>
          <w:p w:rsidR="002933A3" w:rsidRPr="002E40A7" w:rsidRDefault="002933A3" w:rsidP="002E40A7">
            <w:pPr>
              <w:pStyle w:val="Tabletext"/>
              <w:jc w:val="center"/>
            </w:pPr>
            <w:r w:rsidRPr="002E40A7">
              <w:t>1.20</w:t>
            </w:r>
          </w:p>
        </w:tc>
      </w:tr>
      <w:tr w:rsidR="002933A3" w:rsidRPr="002E40A7" w:rsidTr="002E40A7">
        <w:trPr>
          <w:jc w:val="center"/>
        </w:trPr>
        <w:tc>
          <w:tcPr>
            <w:tcW w:w="1134" w:type="dxa"/>
            <w:shd w:val="clear" w:color="auto" w:fill="E8F8FD"/>
          </w:tcPr>
          <w:p w:rsidR="002933A3" w:rsidRPr="002E40A7" w:rsidRDefault="002933A3" w:rsidP="002E40A7">
            <w:pPr>
              <w:pStyle w:val="Tabletext"/>
            </w:pPr>
            <w:r w:rsidRPr="002E40A7">
              <w:t>3.</w:t>
            </w:r>
          </w:p>
        </w:tc>
        <w:tc>
          <w:tcPr>
            <w:tcW w:w="3402" w:type="dxa"/>
            <w:shd w:val="clear" w:color="auto" w:fill="E8F8FD"/>
          </w:tcPr>
          <w:p w:rsidR="002933A3" w:rsidRPr="002E40A7" w:rsidRDefault="002933A3" w:rsidP="002E40A7">
            <w:pPr>
              <w:pStyle w:val="Tabletext"/>
            </w:pPr>
            <w:r w:rsidRPr="002E40A7">
              <w:t>From 5 to 10 million</w:t>
            </w:r>
          </w:p>
        </w:tc>
        <w:tc>
          <w:tcPr>
            <w:tcW w:w="1701" w:type="dxa"/>
            <w:shd w:val="clear" w:color="auto" w:fill="E8F8FD"/>
          </w:tcPr>
          <w:p w:rsidR="002933A3" w:rsidRPr="002E40A7" w:rsidRDefault="002933A3" w:rsidP="002E40A7">
            <w:pPr>
              <w:pStyle w:val="Tabletext"/>
              <w:jc w:val="center"/>
            </w:pPr>
            <w:r w:rsidRPr="002E40A7">
              <w:t>1.70</w:t>
            </w:r>
          </w:p>
        </w:tc>
      </w:tr>
      <w:tr w:rsidR="002933A3" w:rsidRPr="002E40A7" w:rsidTr="002E40A7">
        <w:trPr>
          <w:jc w:val="center"/>
        </w:trPr>
        <w:tc>
          <w:tcPr>
            <w:tcW w:w="1134" w:type="dxa"/>
            <w:tcBorders>
              <w:bottom w:val="single" w:sz="4" w:space="0" w:color="auto"/>
            </w:tcBorders>
          </w:tcPr>
          <w:p w:rsidR="002933A3" w:rsidRPr="002E40A7" w:rsidRDefault="002933A3" w:rsidP="002E40A7">
            <w:pPr>
              <w:pStyle w:val="Tabletext"/>
            </w:pPr>
            <w:r w:rsidRPr="002E40A7">
              <w:t>4.</w:t>
            </w:r>
          </w:p>
        </w:tc>
        <w:tc>
          <w:tcPr>
            <w:tcW w:w="3402" w:type="dxa"/>
            <w:tcBorders>
              <w:bottom w:val="single" w:sz="4" w:space="0" w:color="auto"/>
            </w:tcBorders>
          </w:tcPr>
          <w:p w:rsidR="002933A3" w:rsidRPr="002E40A7" w:rsidRDefault="002933A3" w:rsidP="002E40A7">
            <w:pPr>
              <w:pStyle w:val="Tabletext"/>
            </w:pPr>
            <w:r w:rsidRPr="002E40A7">
              <w:t>From 10 to 15 million</w:t>
            </w:r>
          </w:p>
        </w:tc>
        <w:tc>
          <w:tcPr>
            <w:tcW w:w="1701" w:type="dxa"/>
            <w:tcBorders>
              <w:bottom w:val="single" w:sz="4" w:space="0" w:color="auto"/>
            </w:tcBorders>
          </w:tcPr>
          <w:p w:rsidR="002933A3" w:rsidRPr="002E40A7" w:rsidRDefault="002933A3" w:rsidP="002E40A7">
            <w:pPr>
              <w:pStyle w:val="Tabletext"/>
              <w:jc w:val="center"/>
            </w:pPr>
            <w:r w:rsidRPr="002E40A7">
              <w:t>2.20</w:t>
            </w:r>
          </w:p>
        </w:tc>
      </w:tr>
      <w:tr w:rsidR="002933A3" w:rsidRPr="002E40A7" w:rsidTr="002E40A7">
        <w:trPr>
          <w:jc w:val="center"/>
        </w:trPr>
        <w:tc>
          <w:tcPr>
            <w:tcW w:w="1134" w:type="dxa"/>
            <w:shd w:val="clear" w:color="auto" w:fill="E8F8FD"/>
          </w:tcPr>
          <w:p w:rsidR="002933A3" w:rsidRPr="002E40A7" w:rsidRDefault="002933A3" w:rsidP="002E40A7">
            <w:pPr>
              <w:pStyle w:val="Tabletext"/>
            </w:pPr>
            <w:r w:rsidRPr="002E40A7">
              <w:t>5.</w:t>
            </w:r>
          </w:p>
        </w:tc>
        <w:tc>
          <w:tcPr>
            <w:tcW w:w="3402" w:type="dxa"/>
            <w:shd w:val="clear" w:color="auto" w:fill="E8F8FD"/>
          </w:tcPr>
          <w:p w:rsidR="002933A3" w:rsidRPr="002E40A7" w:rsidRDefault="002933A3" w:rsidP="002E40A7">
            <w:pPr>
              <w:pStyle w:val="Tabletext"/>
            </w:pPr>
            <w:r w:rsidRPr="002E40A7">
              <w:t>From 15 to 20 million</w:t>
            </w:r>
          </w:p>
        </w:tc>
        <w:tc>
          <w:tcPr>
            <w:tcW w:w="1701" w:type="dxa"/>
            <w:shd w:val="clear" w:color="auto" w:fill="E8F8FD"/>
          </w:tcPr>
          <w:p w:rsidR="002933A3" w:rsidRPr="002E40A7" w:rsidRDefault="002933A3" w:rsidP="002E40A7">
            <w:pPr>
              <w:pStyle w:val="Tabletext"/>
              <w:jc w:val="center"/>
            </w:pPr>
            <w:r w:rsidRPr="002E40A7">
              <w:t>2.70</w:t>
            </w:r>
          </w:p>
        </w:tc>
      </w:tr>
      <w:tr w:rsidR="002933A3" w:rsidRPr="002E40A7" w:rsidTr="002E40A7">
        <w:trPr>
          <w:jc w:val="center"/>
        </w:trPr>
        <w:tc>
          <w:tcPr>
            <w:tcW w:w="1134" w:type="dxa"/>
          </w:tcPr>
          <w:p w:rsidR="002933A3" w:rsidRPr="002E40A7" w:rsidRDefault="002933A3" w:rsidP="002E40A7">
            <w:pPr>
              <w:pStyle w:val="Tabletext"/>
            </w:pPr>
            <w:r w:rsidRPr="002E40A7">
              <w:t>6.</w:t>
            </w:r>
          </w:p>
        </w:tc>
        <w:tc>
          <w:tcPr>
            <w:tcW w:w="3402" w:type="dxa"/>
          </w:tcPr>
          <w:p w:rsidR="002933A3" w:rsidRPr="002E40A7" w:rsidRDefault="002933A3" w:rsidP="002E40A7">
            <w:pPr>
              <w:pStyle w:val="Tabletext"/>
            </w:pPr>
            <w:r w:rsidRPr="002E40A7">
              <w:t>From 20 to 25 million</w:t>
            </w:r>
          </w:p>
        </w:tc>
        <w:tc>
          <w:tcPr>
            <w:tcW w:w="1701" w:type="dxa"/>
          </w:tcPr>
          <w:p w:rsidR="002933A3" w:rsidRPr="002E40A7" w:rsidRDefault="002933A3" w:rsidP="002E40A7">
            <w:pPr>
              <w:pStyle w:val="Tabletext"/>
              <w:jc w:val="center"/>
            </w:pPr>
            <w:r w:rsidRPr="002E40A7">
              <w:t>3.20</w:t>
            </w:r>
          </w:p>
        </w:tc>
      </w:tr>
    </w:tbl>
    <w:p w:rsidR="002E40A7" w:rsidRDefault="002E40A7" w:rsidP="002E40A7"/>
    <w:p w:rsidR="002933A3" w:rsidRPr="002933A3" w:rsidRDefault="002933A3" w:rsidP="002E40A7">
      <w:pPr>
        <w:pStyle w:val="Enumlevel1"/>
      </w:pPr>
      <w:r w:rsidRPr="002933A3">
        <w:tab/>
        <w:t>iii)</w:t>
      </w:r>
      <w:r w:rsidRPr="002933A3">
        <w:tab/>
        <w:t>CF = Contribution Factor for microwave Frequency = 1</w:t>
      </w:r>
    </w:p>
    <w:p w:rsidR="002933A3" w:rsidRPr="002933A3" w:rsidRDefault="002933A3" w:rsidP="002E40A7">
      <w:pPr>
        <w:pStyle w:val="Enumlevel1"/>
      </w:pPr>
      <w:r w:rsidRPr="002933A3">
        <w:tab/>
        <w:t>iv)</w:t>
      </w:r>
      <w:r w:rsidRPr="002933A3">
        <w:tab/>
        <w:t>BW = Bandwidth Assigned for Access Frequency in MHz</w:t>
      </w:r>
    </w:p>
    <w:p w:rsidR="002933A3" w:rsidRPr="002933A3" w:rsidRDefault="002933A3" w:rsidP="002E40A7">
      <w:pPr>
        <w:pStyle w:val="Enumlevel1"/>
      </w:pPr>
      <w:r w:rsidRPr="002933A3">
        <w:tab/>
        <w:t>v)</w:t>
      </w:r>
      <w:r w:rsidRPr="002933A3">
        <w:tab/>
        <w:t xml:space="preserve">BW = Bandwidth occupied for Microwave Frequency in MHz </w:t>
      </w:r>
    </w:p>
    <w:p w:rsidR="002933A3" w:rsidRPr="002933A3" w:rsidRDefault="002933A3" w:rsidP="002E40A7">
      <w:pPr>
        <w:pStyle w:val="Enumlevel1"/>
      </w:pPr>
      <w:r w:rsidRPr="002933A3">
        <w:tab/>
        <w:t>vi)</w:t>
      </w:r>
      <w:r w:rsidRPr="002933A3">
        <w:tab/>
        <w:t>AF = Area Factor for Access Frequency = 134 275 km</w:t>
      </w:r>
      <w:r w:rsidRPr="000C0181">
        <w:t>2</w:t>
      </w:r>
    </w:p>
    <w:p w:rsidR="002933A3" w:rsidRPr="002933A3" w:rsidRDefault="002933A3" w:rsidP="002E40A7">
      <w:pPr>
        <w:pStyle w:val="Enumlevel1"/>
        <w:ind w:left="1134"/>
      </w:pPr>
      <w:r w:rsidRPr="002933A3">
        <w:t>vii)</w:t>
      </w:r>
      <w:r w:rsidRPr="002933A3">
        <w:tab/>
        <w:t>AF=Area Factor for Microwave Frequency point-to-point link = Link Length² × 0.273 (Minimum distance for Link Length shall be considered from 10 km)</w:t>
      </w:r>
    </w:p>
    <w:p w:rsidR="002933A3" w:rsidRDefault="002933A3" w:rsidP="000C0181">
      <w:pPr>
        <w:pStyle w:val="Enumlevel1"/>
      </w:pPr>
      <w:r w:rsidRPr="002933A3">
        <w:tab/>
        <w:t xml:space="preserve">viii) </w:t>
      </w:r>
      <w:r w:rsidRPr="002933A3">
        <w:tab/>
        <w:t>BF = Band Factor:</w:t>
      </w:r>
    </w:p>
    <w:p w:rsidR="002E40A7" w:rsidRPr="002933A3" w:rsidRDefault="002E40A7" w:rsidP="000C0181">
      <w:pPr>
        <w:pStyle w:val="Enumlevel1"/>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4948"/>
        <w:gridCol w:w="2474"/>
      </w:tblGrid>
      <w:tr w:rsidR="002933A3" w:rsidRPr="002933A3" w:rsidTr="002E40A7">
        <w:trPr>
          <w:jc w:val="center"/>
        </w:trPr>
        <w:tc>
          <w:tcPr>
            <w:tcW w:w="1134" w:type="dxa"/>
            <w:tcBorders>
              <w:bottom w:val="single" w:sz="4" w:space="0" w:color="auto"/>
            </w:tcBorders>
            <w:shd w:val="clear" w:color="auto" w:fill="005173"/>
          </w:tcPr>
          <w:p w:rsidR="002933A3" w:rsidRPr="002933A3" w:rsidRDefault="002933A3" w:rsidP="002E40A7">
            <w:pPr>
              <w:pStyle w:val="Tablehead"/>
            </w:pPr>
            <w:r w:rsidRPr="002933A3">
              <w:t>Sl. #</w:t>
            </w:r>
          </w:p>
        </w:tc>
        <w:tc>
          <w:tcPr>
            <w:tcW w:w="3402" w:type="dxa"/>
            <w:tcBorders>
              <w:bottom w:val="single" w:sz="4" w:space="0" w:color="auto"/>
            </w:tcBorders>
            <w:shd w:val="clear" w:color="auto" w:fill="005173"/>
          </w:tcPr>
          <w:p w:rsidR="002933A3" w:rsidRPr="002933A3" w:rsidRDefault="002933A3" w:rsidP="002E40A7">
            <w:pPr>
              <w:pStyle w:val="Tablehead"/>
            </w:pPr>
            <w:r w:rsidRPr="002933A3">
              <w:t>Band</w:t>
            </w:r>
          </w:p>
        </w:tc>
        <w:tc>
          <w:tcPr>
            <w:tcW w:w="1701" w:type="dxa"/>
            <w:tcBorders>
              <w:bottom w:val="single" w:sz="4" w:space="0" w:color="auto"/>
            </w:tcBorders>
            <w:shd w:val="clear" w:color="auto" w:fill="005173"/>
          </w:tcPr>
          <w:p w:rsidR="002933A3" w:rsidRPr="002933A3" w:rsidRDefault="002933A3" w:rsidP="002E40A7">
            <w:pPr>
              <w:pStyle w:val="Tablehead"/>
            </w:pPr>
            <w:r w:rsidRPr="002933A3">
              <w:t>BF</w:t>
            </w:r>
          </w:p>
        </w:tc>
      </w:tr>
      <w:tr w:rsidR="002933A3" w:rsidRPr="002933A3" w:rsidTr="002E40A7">
        <w:trPr>
          <w:jc w:val="center"/>
        </w:trPr>
        <w:tc>
          <w:tcPr>
            <w:tcW w:w="1134" w:type="dxa"/>
            <w:shd w:val="clear" w:color="auto" w:fill="E8F8FD"/>
          </w:tcPr>
          <w:p w:rsidR="002933A3" w:rsidRPr="002933A3" w:rsidRDefault="002933A3" w:rsidP="002E40A7">
            <w:pPr>
              <w:pStyle w:val="Tabletext"/>
            </w:pPr>
            <w:r w:rsidRPr="002933A3">
              <w:t>1.</w:t>
            </w:r>
          </w:p>
        </w:tc>
        <w:tc>
          <w:tcPr>
            <w:tcW w:w="3402" w:type="dxa"/>
            <w:shd w:val="clear" w:color="auto" w:fill="E8F8FD"/>
          </w:tcPr>
          <w:p w:rsidR="002933A3" w:rsidRPr="002933A3" w:rsidRDefault="002933A3" w:rsidP="002E40A7">
            <w:pPr>
              <w:pStyle w:val="Tabletext"/>
            </w:pPr>
            <w:r w:rsidRPr="002933A3">
              <w:t xml:space="preserve">VLF/LF/MF (3-3 000 kHz) </w:t>
            </w:r>
          </w:p>
        </w:tc>
        <w:tc>
          <w:tcPr>
            <w:tcW w:w="1701" w:type="dxa"/>
            <w:shd w:val="clear" w:color="auto" w:fill="E8F8FD"/>
          </w:tcPr>
          <w:p w:rsidR="002933A3" w:rsidRPr="002933A3" w:rsidRDefault="002933A3" w:rsidP="002E40A7">
            <w:pPr>
              <w:pStyle w:val="Tabletext"/>
              <w:jc w:val="center"/>
            </w:pPr>
            <w:r w:rsidRPr="002933A3">
              <w:t>1.00</w:t>
            </w:r>
          </w:p>
        </w:tc>
      </w:tr>
      <w:tr w:rsidR="002933A3" w:rsidRPr="002933A3" w:rsidTr="002E40A7">
        <w:trPr>
          <w:jc w:val="center"/>
        </w:trPr>
        <w:tc>
          <w:tcPr>
            <w:tcW w:w="1134" w:type="dxa"/>
            <w:tcBorders>
              <w:bottom w:val="single" w:sz="4" w:space="0" w:color="auto"/>
            </w:tcBorders>
          </w:tcPr>
          <w:p w:rsidR="002933A3" w:rsidRPr="002933A3" w:rsidRDefault="002933A3" w:rsidP="002E40A7">
            <w:pPr>
              <w:pStyle w:val="Tabletext"/>
            </w:pPr>
            <w:r w:rsidRPr="002933A3">
              <w:t>2.</w:t>
            </w:r>
          </w:p>
        </w:tc>
        <w:tc>
          <w:tcPr>
            <w:tcW w:w="3402" w:type="dxa"/>
            <w:tcBorders>
              <w:bottom w:val="single" w:sz="4" w:space="0" w:color="auto"/>
            </w:tcBorders>
          </w:tcPr>
          <w:p w:rsidR="002933A3" w:rsidRPr="002933A3" w:rsidRDefault="002933A3" w:rsidP="002E40A7">
            <w:pPr>
              <w:pStyle w:val="Tabletext"/>
            </w:pPr>
            <w:r w:rsidRPr="002933A3">
              <w:t xml:space="preserve">HF (3-30 MHz) </w:t>
            </w:r>
          </w:p>
        </w:tc>
        <w:tc>
          <w:tcPr>
            <w:tcW w:w="1701" w:type="dxa"/>
            <w:tcBorders>
              <w:bottom w:val="single" w:sz="4" w:space="0" w:color="auto"/>
            </w:tcBorders>
          </w:tcPr>
          <w:p w:rsidR="002933A3" w:rsidRPr="002933A3" w:rsidRDefault="002933A3" w:rsidP="002E40A7">
            <w:pPr>
              <w:pStyle w:val="Tabletext"/>
              <w:jc w:val="center"/>
            </w:pPr>
            <w:r w:rsidRPr="002933A3">
              <w:t>1.50</w:t>
            </w:r>
          </w:p>
        </w:tc>
      </w:tr>
      <w:tr w:rsidR="002933A3" w:rsidRPr="002933A3" w:rsidTr="002E40A7">
        <w:trPr>
          <w:jc w:val="center"/>
        </w:trPr>
        <w:tc>
          <w:tcPr>
            <w:tcW w:w="1134" w:type="dxa"/>
            <w:shd w:val="clear" w:color="auto" w:fill="E8F8FD"/>
          </w:tcPr>
          <w:p w:rsidR="002933A3" w:rsidRPr="002933A3" w:rsidRDefault="002933A3" w:rsidP="002E40A7">
            <w:pPr>
              <w:pStyle w:val="Tabletext"/>
            </w:pPr>
            <w:r w:rsidRPr="002933A3">
              <w:t>3.</w:t>
            </w:r>
          </w:p>
        </w:tc>
        <w:tc>
          <w:tcPr>
            <w:tcW w:w="3402" w:type="dxa"/>
            <w:shd w:val="clear" w:color="auto" w:fill="E8F8FD"/>
          </w:tcPr>
          <w:p w:rsidR="002933A3" w:rsidRPr="002933A3" w:rsidRDefault="002933A3" w:rsidP="002E40A7">
            <w:pPr>
              <w:pStyle w:val="Tabletext"/>
            </w:pPr>
            <w:r w:rsidRPr="002933A3">
              <w:t xml:space="preserve">VHF (30-300 MHz) </w:t>
            </w:r>
          </w:p>
        </w:tc>
        <w:tc>
          <w:tcPr>
            <w:tcW w:w="1701" w:type="dxa"/>
            <w:shd w:val="clear" w:color="auto" w:fill="E8F8FD"/>
          </w:tcPr>
          <w:p w:rsidR="002933A3" w:rsidRPr="002933A3" w:rsidRDefault="002933A3" w:rsidP="002E40A7">
            <w:pPr>
              <w:pStyle w:val="Tabletext"/>
              <w:jc w:val="center"/>
            </w:pPr>
            <w:r w:rsidRPr="002933A3">
              <w:t>1.00</w:t>
            </w:r>
          </w:p>
        </w:tc>
      </w:tr>
      <w:tr w:rsidR="002933A3" w:rsidRPr="002933A3" w:rsidTr="002E40A7">
        <w:trPr>
          <w:jc w:val="center"/>
        </w:trPr>
        <w:tc>
          <w:tcPr>
            <w:tcW w:w="1134" w:type="dxa"/>
            <w:tcBorders>
              <w:bottom w:val="single" w:sz="4" w:space="0" w:color="auto"/>
            </w:tcBorders>
          </w:tcPr>
          <w:p w:rsidR="002933A3" w:rsidRPr="002933A3" w:rsidRDefault="002933A3" w:rsidP="002E40A7">
            <w:pPr>
              <w:pStyle w:val="Tabletext"/>
            </w:pPr>
            <w:r w:rsidRPr="002933A3">
              <w:t>4.</w:t>
            </w:r>
          </w:p>
        </w:tc>
        <w:tc>
          <w:tcPr>
            <w:tcW w:w="3402" w:type="dxa"/>
            <w:tcBorders>
              <w:bottom w:val="single" w:sz="4" w:space="0" w:color="auto"/>
            </w:tcBorders>
          </w:tcPr>
          <w:p w:rsidR="002933A3" w:rsidRPr="002933A3" w:rsidRDefault="002933A3" w:rsidP="002E40A7">
            <w:pPr>
              <w:pStyle w:val="Tabletext"/>
            </w:pPr>
            <w:r w:rsidRPr="002933A3">
              <w:t>UHF1 (300-746 MHz)</w:t>
            </w:r>
          </w:p>
        </w:tc>
        <w:tc>
          <w:tcPr>
            <w:tcW w:w="1701" w:type="dxa"/>
            <w:tcBorders>
              <w:bottom w:val="single" w:sz="4" w:space="0" w:color="auto"/>
            </w:tcBorders>
          </w:tcPr>
          <w:p w:rsidR="002933A3" w:rsidRPr="002933A3" w:rsidRDefault="002933A3" w:rsidP="002E40A7">
            <w:pPr>
              <w:pStyle w:val="Tabletext"/>
              <w:jc w:val="center"/>
            </w:pPr>
            <w:r w:rsidRPr="002933A3">
              <w:t>0.75</w:t>
            </w:r>
          </w:p>
        </w:tc>
      </w:tr>
      <w:tr w:rsidR="002933A3" w:rsidRPr="002933A3" w:rsidTr="002E40A7">
        <w:trPr>
          <w:jc w:val="center"/>
        </w:trPr>
        <w:tc>
          <w:tcPr>
            <w:tcW w:w="1134" w:type="dxa"/>
            <w:shd w:val="clear" w:color="auto" w:fill="E8F8FD"/>
          </w:tcPr>
          <w:p w:rsidR="002933A3" w:rsidRPr="002933A3" w:rsidRDefault="002933A3" w:rsidP="002E40A7">
            <w:pPr>
              <w:pStyle w:val="Tabletext"/>
            </w:pPr>
            <w:r w:rsidRPr="002933A3">
              <w:t>5.</w:t>
            </w:r>
          </w:p>
        </w:tc>
        <w:tc>
          <w:tcPr>
            <w:tcW w:w="3402" w:type="dxa"/>
            <w:shd w:val="clear" w:color="auto" w:fill="E8F8FD"/>
          </w:tcPr>
          <w:p w:rsidR="002933A3" w:rsidRPr="002933A3" w:rsidRDefault="002933A3" w:rsidP="002E40A7">
            <w:pPr>
              <w:pStyle w:val="Tabletext"/>
            </w:pPr>
            <w:r w:rsidRPr="002933A3">
              <w:t>UHF2 (746-2 690 MHz)</w:t>
            </w:r>
          </w:p>
        </w:tc>
        <w:tc>
          <w:tcPr>
            <w:tcW w:w="1701" w:type="dxa"/>
            <w:shd w:val="clear" w:color="auto" w:fill="E8F8FD"/>
          </w:tcPr>
          <w:p w:rsidR="002933A3" w:rsidRPr="002933A3" w:rsidRDefault="002933A3" w:rsidP="002E40A7">
            <w:pPr>
              <w:pStyle w:val="Tabletext"/>
              <w:jc w:val="center"/>
            </w:pPr>
            <w:r w:rsidRPr="002933A3">
              <w:t>0.50</w:t>
            </w:r>
          </w:p>
        </w:tc>
      </w:tr>
      <w:tr w:rsidR="002933A3" w:rsidRPr="002933A3" w:rsidTr="002E40A7">
        <w:trPr>
          <w:jc w:val="center"/>
        </w:trPr>
        <w:tc>
          <w:tcPr>
            <w:tcW w:w="1134" w:type="dxa"/>
            <w:tcBorders>
              <w:bottom w:val="single" w:sz="4" w:space="0" w:color="auto"/>
            </w:tcBorders>
          </w:tcPr>
          <w:p w:rsidR="002933A3" w:rsidRPr="002933A3" w:rsidRDefault="002933A3" w:rsidP="002E40A7">
            <w:pPr>
              <w:pStyle w:val="Tabletext"/>
            </w:pPr>
            <w:r w:rsidRPr="002933A3">
              <w:t>6.</w:t>
            </w:r>
          </w:p>
        </w:tc>
        <w:tc>
          <w:tcPr>
            <w:tcW w:w="3402" w:type="dxa"/>
            <w:tcBorders>
              <w:bottom w:val="single" w:sz="4" w:space="0" w:color="auto"/>
            </w:tcBorders>
          </w:tcPr>
          <w:p w:rsidR="002933A3" w:rsidRPr="002933A3" w:rsidRDefault="002933A3" w:rsidP="002E40A7">
            <w:pPr>
              <w:pStyle w:val="Tabletext"/>
            </w:pPr>
            <w:r w:rsidRPr="002933A3">
              <w:t>SHF1 (2.69-16 GHz)</w:t>
            </w:r>
          </w:p>
        </w:tc>
        <w:tc>
          <w:tcPr>
            <w:tcW w:w="1701" w:type="dxa"/>
            <w:tcBorders>
              <w:bottom w:val="single" w:sz="4" w:space="0" w:color="auto"/>
            </w:tcBorders>
          </w:tcPr>
          <w:p w:rsidR="002933A3" w:rsidRPr="002933A3" w:rsidRDefault="002933A3" w:rsidP="002E40A7">
            <w:pPr>
              <w:pStyle w:val="Tabletext"/>
              <w:jc w:val="center"/>
            </w:pPr>
            <w:r w:rsidRPr="002933A3">
              <w:t>0.25</w:t>
            </w:r>
          </w:p>
        </w:tc>
      </w:tr>
      <w:tr w:rsidR="002933A3" w:rsidRPr="002933A3" w:rsidTr="002E40A7">
        <w:trPr>
          <w:jc w:val="center"/>
        </w:trPr>
        <w:tc>
          <w:tcPr>
            <w:tcW w:w="1134" w:type="dxa"/>
            <w:shd w:val="clear" w:color="auto" w:fill="E8F8FD"/>
          </w:tcPr>
          <w:p w:rsidR="002933A3" w:rsidRPr="002933A3" w:rsidRDefault="002933A3" w:rsidP="002E40A7">
            <w:pPr>
              <w:pStyle w:val="Tabletext"/>
            </w:pPr>
            <w:r w:rsidRPr="002933A3">
              <w:t>7.</w:t>
            </w:r>
          </w:p>
        </w:tc>
        <w:tc>
          <w:tcPr>
            <w:tcW w:w="3402" w:type="dxa"/>
            <w:shd w:val="clear" w:color="auto" w:fill="E8F8FD"/>
          </w:tcPr>
          <w:p w:rsidR="002933A3" w:rsidRPr="002933A3" w:rsidRDefault="002933A3" w:rsidP="002E40A7">
            <w:pPr>
              <w:pStyle w:val="Tabletext"/>
            </w:pPr>
            <w:r w:rsidRPr="002933A3">
              <w:t xml:space="preserve">SHF2 (16-31 GHz) </w:t>
            </w:r>
          </w:p>
        </w:tc>
        <w:tc>
          <w:tcPr>
            <w:tcW w:w="1701" w:type="dxa"/>
            <w:shd w:val="clear" w:color="auto" w:fill="E8F8FD"/>
          </w:tcPr>
          <w:p w:rsidR="002933A3" w:rsidRPr="002933A3" w:rsidRDefault="002933A3" w:rsidP="002E40A7">
            <w:pPr>
              <w:pStyle w:val="Tabletext"/>
              <w:jc w:val="center"/>
            </w:pPr>
            <w:r w:rsidRPr="002933A3">
              <w:t>0.15</w:t>
            </w:r>
          </w:p>
        </w:tc>
      </w:tr>
      <w:tr w:rsidR="002933A3" w:rsidRPr="002933A3" w:rsidTr="002E40A7">
        <w:trPr>
          <w:jc w:val="center"/>
        </w:trPr>
        <w:tc>
          <w:tcPr>
            <w:tcW w:w="1134" w:type="dxa"/>
            <w:tcBorders>
              <w:bottom w:val="single" w:sz="4" w:space="0" w:color="auto"/>
            </w:tcBorders>
          </w:tcPr>
          <w:p w:rsidR="002933A3" w:rsidRPr="002933A3" w:rsidRDefault="002933A3" w:rsidP="002E40A7">
            <w:pPr>
              <w:pStyle w:val="Tabletext"/>
            </w:pPr>
            <w:r w:rsidRPr="002933A3">
              <w:t>8.</w:t>
            </w:r>
          </w:p>
        </w:tc>
        <w:tc>
          <w:tcPr>
            <w:tcW w:w="3402" w:type="dxa"/>
            <w:tcBorders>
              <w:bottom w:val="single" w:sz="4" w:space="0" w:color="auto"/>
            </w:tcBorders>
          </w:tcPr>
          <w:p w:rsidR="002933A3" w:rsidRPr="002933A3" w:rsidRDefault="002933A3" w:rsidP="002E40A7">
            <w:pPr>
              <w:pStyle w:val="Tabletext"/>
            </w:pPr>
            <w:r w:rsidRPr="002933A3">
              <w:t xml:space="preserve">EHF1 (31-65 GHz) </w:t>
            </w:r>
          </w:p>
        </w:tc>
        <w:tc>
          <w:tcPr>
            <w:tcW w:w="1701" w:type="dxa"/>
            <w:tcBorders>
              <w:bottom w:val="single" w:sz="4" w:space="0" w:color="auto"/>
            </w:tcBorders>
          </w:tcPr>
          <w:p w:rsidR="002933A3" w:rsidRPr="002933A3" w:rsidRDefault="002933A3" w:rsidP="002E40A7">
            <w:pPr>
              <w:pStyle w:val="Tabletext"/>
              <w:jc w:val="center"/>
            </w:pPr>
            <w:r w:rsidRPr="002933A3">
              <w:t>0.10</w:t>
            </w:r>
          </w:p>
        </w:tc>
      </w:tr>
      <w:tr w:rsidR="002933A3" w:rsidRPr="002933A3" w:rsidTr="002E40A7">
        <w:trPr>
          <w:jc w:val="center"/>
        </w:trPr>
        <w:tc>
          <w:tcPr>
            <w:tcW w:w="1134" w:type="dxa"/>
            <w:shd w:val="clear" w:color="auto" w:fill="E8F8FD"/>
          </w:tcPr>
          <w:p w:rsidR="002933A3" w:rsidRPr="002933A3" w:rsidRDefault="002933A3" w:rsidP="002E40A7">
            <w:pPr>
              <w:pStyle w:val="Tabletext"/>
            </w:pPr>
            <w:r w:rsidRPr="002933A3">
              <w:t>9.</w:t>
            </w:r>
          </w:p>
        </w:tc>
        <w:tc>
          <w:tcPr>
            <w:tcW w:w="3402" w:type="dxa"/>
            <w:shd w:val="clear" w:color="auto" w:fill="E8F8FD"/>
          </w:tcPr>
          <w:p w:rsidR="002933A3" w:rsidRPr="002933A3" w:rsidRDefault="002933A3" w:rsidP="002E40A7">
            <w:pPr>
              <w:pStyle w:val="Tabletext"/>
            </w:pPr>
            <w:r w:rsidRPr="002933A3">
              <w:t>EHF2 (65-275 GHz)</w:t>
            </w:r>
          </w:p>
        </w:tc>
        <w:tc>
          <w:tcPr>
            <w:tcW w:w="1701" w:type="dxa"/>
            <w:shd w:val="clear" w:color="auto" w:fill="E8F8FD"/>
          </w:tcPr>
          <w:p w:rsidR="002933A3" w:rsidRPr="002933A3" w:rsidRDefault="002933A3" w:rsidP="002E40A7">
            <w:pPr>
              <w:pStyle w:val="Tabletext"/>
              <w:jc w:val="center"/>
            </w:pPr>
            <w:r w:rsidRPr="002933A3">
              <w:t>0.05</w:t>
            </w:r>
          </w:p>
        </w:tc>
      </w:tr>
    </w:tbl>
    <w:p w:rsidR="002E40A7" w:rsidRDefault="002E40A7" w:rsidP="002933A3">
      <w:pPr>
        <w:rPr>
          <w:szCs w:val="21"/>
        </w:rPr>
      </w:pPr>
    </w:p>
    <w:p w:rsidR="002933A3" w:rsidRPr="00250D23" w:rsidRDefault="002933A3" w:rsidP="002933A3">
      <w:pPr>
        <w:rPr>
          <w:szCs w:val="21"/>
          <w:lang w:val="en-US"/>
        </w:rPr>
      </w:pPr>
      <w:r w:rsidRPr="00250D23">
        <w:rPr>
          <w:szCs w:val="21"/>
          <w:lang w:val="en-US"/>
        </w:rPr>
        <w:t>The operators will pay to the BTRC annually spectrum charges as fixed by the BTRC, as given at para-1 above, on a quarterly basis by the 10th day of the month following completion of every quarter. Any payment already made on this account as per previous rate list will be adjusted in the first payment.</w:t>
      </w:r>
    </w:p>
    <w:p w:rsidR="002933A3" w:rsidRPr="00250D23" w:rsidRDefault="002933A3" w:rsidP="002933A3">
      <w:pPr>
        <w:rPr>
          <w:szCs w:val="21"/>
          <w:lang w:val="en-US"/>
        </w:rPr>
      </w:pPr>
      <w:r w:rsidRPr="00250D23">
        <w:rPr>
          <w:szCs w:val="21"/>
          <w:lang w:val="en-US"/>
        </w:rPr>
        <w:lastRenderedPageBreak/>
        <w:t>The operators shall pay the spectrum charges to the BTRC in the manner and at the rate fixed by the BTRC from time to time. If the operator fails to pay the spectrum charges in time, it shall be liable to pay to the BTRC annually 15% compounded interest on the outstanding amount as compensation.</w:t>
      </w:r>
    </w:p>
    <w:p w:rsidR="002933A3" w:rsidRPr="00250D23" w:rsidRDefault="002933A3" w:rsidP="002E40A7">
      <w:pPr>
        <w:rPr>
          <w:lang w:val="en-US"/>
        </w:rPr>
      </w:pPr>
      <w:r w:rsidRPr="00250D23">
        <w:rPr>
          <w:lang w:val="en-US"/>
        </w:rPr>
        <w:t xml:space="preserve">Short-term charges for new microwave links depending on date of Installation will be applicable as follows: </w:t>
      </w:r>
    </w:p>
    <w:p w:rsidR="002E40A7" w:rsidRPr="00250D23" w:rsidRDefault="002E40A7" w:rsidP="002E40A7">
      <w:pPr>
        <w:rPr>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4948"/>
        <w:gridCol w:w="2474"/>
      </w:tblGrid>
      <w:tr w:rsidR="002933A3" w:rsidRPr="002933A3" w:rsidTr="002E40A7">
        <w:trPr>
          <w:jc w:val="center"/>
        </w:trPr>
        <w:tc>
          <w:tcPr>
            <w:tcW w:w="1134" w:type="dxa"/>
            <w:tcBorders>
              <w:bottom w:val="single" w:sz="4" w:space="0" w:color="auto"/>
            </w:tcBorders>
            <w:shd w:val="clear" w:color="auto" w:fill="005173"/>
          </w:tcPr>
          <w:p w:rsidR="002933A3" w:rsidRPr="002933A3" w:rsidRDefault="002933A3" w:rsidP="002E40A7">
            <w:pPr>
              <w:pStyle w:val="Tablehead"/>
            </w:pPr>
            <w:r w:rsidRPr="002933A3">
              <w:t>SL #</w:t>
            </w:r>
          </w:p>
        </w:tc>
        <w:tc>
          <w:tcPr>
            <w:tcW w:w="3402" w:type="dxa"/>
            <w:tcBorders>
              <w:bottom w:val="single" w:sz="4" w:space="0" w:color="auto"/>
            </w:tcBorders>
            <w:shd w:val="clear" w:color="auto" w:fill="005173"/>
          </w:tcPr>
          <w:p w:rsidR="002933A3" w:rsidRPr="002933A3" w:rsidRDefault="002933A3" w:rsidP="002E40A7">
            <w:pPr>
              <w:pStyle w:val="Tablehead"/>
            </w:pPr>
            <w:r w:rsidRPr="002933A3">
              <w:t>Date of installation</w:t>
            </w:r>
          </w:p>
        </w:tc>
        <w:tc>
          <w:tcPr>
            <w:tcW w:w="1701" w:type="dxa"/>
            <w:tcBorders>
              <w:bottom w:val="single" w:sz="4" w:space="0" w:color="auto"/>
            </w:tcBorders>
            <w:shd w:val="clear" w:color="auto" w:fill="005173"/>
          </w:tcPr>
          <w:p w:rsidR="002933A3" w:rsidRPr="002933A3" w:rsidRDefault="002933A3" w:rsidP="002E40A7">
            <w:pPr>
              <w:pStyle w:val="Tablehead"/>
            </w:pPr>
            <w:r w:rsidRPr="002933A3">
              <w:t>Percentage</w:t>
            </w:r>
          </w:p>
        </w:tc>
      </w:tr>
      <w:tr w:rsidR="002933A3" w:rsidRPr="002933A3" w:rsidTr="002E40A7">
        <w:trPr>
          <w:jc w:val="center"/>
        </w:trPr>
        <w:tc>
          <w:tcPr>
            <w:tcW w:w="1134" w:type="dxa"/>
            <w:shd w:val="clear" w:color="auto" w:fill="E8F8FD"/>
          </w:tcPr>
          <w:p w:rsidR="002933A3" w:rsidRPr="002933A3" w:rsidRDefault="002933A3" w:rsidP="002933A3">
            <w:pPr>
              <w:spacing w:before="40" w:after="40"/>
              <w:jc w:val="center"/>
              <w:rPr>
                <w:szCs w:val="21"/>
              </w:rPr>
            </w:pPr>
            <w:r w:rsidRPr="002933A3">
              <w:rPr>
                <w:szCs w:val="21"/>
              </w:rPr>
              <w:t>1.</w:t>
            </w:r>
          </w:p>
        </w:tc>
        <w:tc>
          <w:tcPr>
            <w:tcW w:w="3402" w:type="dxa"/>
            <w:shd w:val="clear" w:color="auto" w:fill="E8F8FD"/>
          </w:tcPr>
          <w:p w:rsidR="002933A3" w:rsidRPr="002933A3" w:rsidRDefault="002933A3" w:rsidP="002933A3">
            <w:pPr>
              <w:spacing w:before="40" w:after="40"/>
              <w:rPr>
                <w:szCs w:val="21"/>
              </w:rPr>
            </w:pPr>
            <w:r w:rsidRPr="002933A3">
              <w:rPr>
                <w:szCs w:val="21"/>
              </w:rPr>
              <w:t>January-March</w:t>
            </w:r>
          </w:p>
        </w:tc>
        <w:tc>
          <w:tcPr>
            <w:tcW w:w="1701" w:type="dxa"/>
            <w:shd w:val="clear" w:color="auto" w:fill="E8F8FD"/>
          </w:tcPr>
          <w:p w:rsidR="002933A3" w:rsidRPr="002933A3" w:rsidRDefault="002933A3" w:rsidP="002933A3">
            <w:pPr>
              <w:spacing w:before="40" w:after="40"/>
              <w:jc w:val="center"/>
              <w:rPr>
                <w:szCs w:val="21"/>
              </w:rPr>
            </w:pPr>
            <w:r w:rsidRPr="002933A3">
              <w:rPr>
                <w:szCs w:val="21"/>
              </w:rPr>
              <w:t>100%</w:t>
            </w:r>
          </w:p>
        </w:tc>
      </w:tr>
      <w:tr w:rsidR="002933A3" w:rsidRPr="002933A3" w:rsidTr="002E40A7">
        <w:trPr>
          <w:jc w:val="center"/>
        </w:trPr>
        <w:tc>
          <w:tcPr>
            <w:tcW w:w="1134" w:type="dxa"/>
            <w:tcBorders>
              <w:bottom w:val="single" w:sz="4" w:space="0" w:color="auto"/>
            </w:tcBorders>
          </w:tcPr>
          <w:p w:rsidR="002933A3" w:rsidRPr="002933A3" w:rsidRDefault="002933A3" w:rsidP="002933A3">
            <w:pPr>
              <w:spacing w:before="40" w:after="40"/>
              <w:jc w:val="center"/>
              <w:rPr>
                <w:szCs w:val="21"/>
              </w:rPr>
            </w:pPr>
            <w:r w:rsidRPr="002933A3">
              <w:rPr>
                <w:szCs w:val="21"/>
              </w:rPr>
              <w:t>2.</w:t>
            </w:r>
          </w:p>
        </w:tc>
        <w:tc>
          <w:tcPr>
            <w:tcW w:w="3402" w:type="dxa"/>
            <w:tcBorders>
              <w:bottom w:val="single" w:sz="4" w:space="0" w:color="auto"/>
            </w:tcBorders>
          </w:tcPr>
          <w:p w:rsidR="002933A3" w:rsidRPr="002933A3" w:rsidRDefault="002933A3" w:rsidP="002933A3">
            <w:pPr>
              <w:spacing w:before="40" w:after="40"/>
              <w:rPr>
                <w:szCs w:val="21"/>
              </w:rPr>
            </w:pPr>
            <w:r w:rsidRPr="002933A3">
              <w:rPr>
                <w:szCs w:val="21"/>
              </w:rPr>
              <w:t>April-June</w:t>
            </w:r>
          </w:p>
        </w:tc>
        <w:tc>
          <w:tcPr>
            <w:tcW w:w="1701" w:type="dxa"/>
            <w:tcBorders>
              <w:bottom w:val="single" w:sz="4" w:space="0" w:color="auto"/>
            </w:tcBorders>
          </w:tcPr>
          <w:p w:rsidR="002933A3" w:rsidRPr="002933A3" w:rsidRDefault="002933A3" w:rsidP="002933A3">
            <w:pPr>
              <w:spacing w:before="40" w:after="40"/>
              <w:jc w:val="center"/>
              <w:rPr>
                <w:szCs w:val="21"/>
              </w:rPr>
            </w:pPr>
            <w:r w:rsidRPr="002933A3">
              <w:rPr>
                <w:szCs w:val="21"/>
              </w:rPr>
              <w:t>75%</w:t>
            </w:r>
          </w:p>
        </w:tc>
      </w:tr>
      <w:tr w:rsidR="002933A3" w:rsidRPr="002933A3" w:rsidTr="002E40A7">
        <w:trPr>
          <w:jc w:val="center"/>
        </w:trPr>
        <w:tc>
          <w:tcPr>
            <w:tcW w:w="1134" w:type="dxa"/>
            <w:shd w:val="clear" w:color="auto" w:fill="E8F8FD"/>
          </w:tcPr>
          <w:p w:rsidR="002933A3" w:rsidRPr="002933A3" w:rsidRDefault="002933A3" w:rsidP="002933A3">
            <w:pPr>
              <w:spacing w:before="40" w:after="40"/>
              <w:jc w:val="center"/>
              <w:rPr>
                <w:szCs w:val="21"/>
              </w:rPr>
            </w:pPr>
            <w:r w:rsidRPr="002933A3">
              <w:rPr>
                <w:szCs w:val="21"/>
              </w:rPr>
              <w:t>3.</w:t>
            </w:r>
          </w:p>
        </w:tc>
        <w:tc>
          <w:tcPr>
            <w:tcW w:w="3402" w:type="dxa"/>
            <w:shd w:val="clear" w:color="auto" w:fill="E8F8FD"/>
          </w:tcPr>
          <w:p w:rsidR="002933A3" w:rsidRPr="002933A3" w:rsidRDefault="002933A3" w:rsidP="002933A3">
            <w:pPr>
              <w:spacing w:before="40" w:after="40"/>
              <w:rPr>
                <w:szCs w:val="21"/>
              </w:rPr>
            </w:pPr>
            <w:r w:rsidRPr="002933A3">
              <w:rPr>
                <w:szCs w:val="21"/>
              </w:rPr>
              <w:t>July-September</w:t>
            </w:r>
          </w:p>
        </w:tc>
        <w:tc>
          <w:tcPr>
            <w:tcW w:w="1701" w:type="dxa"/>
            <w:shd w:val="clear" w:color="auto" w:fill="E8F8FD"/>
          </w:tcPr>
          <w:p w:rsidR="002933A3" w:rsidRPr="002933A3" w:rsidRDefault="002933A3" w:rsidP="002933A3">
            <w:pPr>
              <w:spacing w:before="40" w:after="40"/>
              <w:jc w:val="center"/>
              <w:rPr>
                <w:szCs w:val="21"/>
              </w:rPr>
            </w:pPr>
            <w:r w:rsidRPr="002933A3">
              <w:rPr>
                <w:szCs w:val="21"/>
              </w:rPr>
              <w:t>50%</w:t>
            </w:r>
          </w:p>
        </w:tc>
      </w:tr>
      <w:tr w:rsidR="002933A3" w:rsidRPr="002933A3" w:rsidTr="002E40A7">
        <w:trPr>
          <w:jc w:val="center"/>
        </w:trPr>
        <w:tc>
          <w:tcPr>
            <w:tcW w:w="1134" w:type="dxa"/>
          </w:tcPr>
          <w:p w:rsidR="002933A3" w:rsidRPr="002933A3" w:rsidRDefault="002933A3" w:rsidP="002933A3">
            <w:pPr>
              <w:spacing w:before="40" w:after="40"/>
              <w:jc w:val="center"/>
              <w:rPr>
                <w:szCs w:val="21"/>
              </w:rPr>
            </w:pPr>
            <w:r w:rsidRPr="002933A3">
              <w:rPr>
                <w:szCs w:val="21"/>
              </w:rPr>
              <w:t>4.</w:t>
            </w:r>
          </w:p>
        </w:tc>
        <w:tc>
          <w:tcPr>
            <w:tcW w:w="3402" w:type="dxa"/>
          </w:tcPr>
          <w:p w:rsidR="002933A3" w:rsidRPr="002933A3" w:rsidRDefault="002933A3" w:rsidP="002933A3">
            <w:pPr>
              <w:spacing w:before="40" w:after="40"/>
              <w:rPr>
                <w:szCs w:val="21"/>
              </w:rPr>
            </w:pPr>
            <w:r w:rsidRPr="002933A3">
              <w:rPr>
                <w:szCs w:val="21"/>
              </w:rPr>
              <w:t>October-December</w:t>
            </w:r>
          </w:p>
        </w:tc>
        <w:tc>
          <w:tcPr>
            <w:tcW w:w="1701" w:type="dxa"/>
          </w:tcPr>
          <w:p w:rsidR="002933A3" w:rsidRPr="002933A3" w:rsidRDefault="002933A3" w:rsidP="002933A3">
            <w:pPr>
              <w:spacing w:before="40" w:after="40"/>
              <w:jc w:val="center"/>
              <w:rPr>
                <w:szCs w:val="21"/>
              </w:rPr>
            </w:pPr>
            <w:r w:rsidRPr="002933A3">
              <w:rPr>
                <w:szCs w:val="21"/>
              </w:rPr>
              <w:t>25%</w:t>
            </w:r>
          </w:p>
        </w:tc>
      </w:tr>
    </w:tbl>
    <w:p w:rsidR="002E40A7" w:rsidRPr="002E40A7" w:rsidRDefault="002E40A7" w:rsidP="002E40A7">
      <w:pPr>
        <w:rPr>
          <w:lang w:val="en-US"/>
        </w:rPr>
      </w:pPr>
    </w:p>
    <w:p w:rsidR="002933A3" w:rsidRPr="00250D23" w:rsidRDefault="002933A3" w:rsidP="002933A3">
      <w:pPr>
        <w:rPr>
          <w:szCs w:val="21"/>
          <w:lang w:val="en-US"/>
        </w:rPr>
      </w:pPr>
      <w:r w:rsidRPr="00250D23">
        <w:rPr>
          <w:szCs w:val="21"/>
          <w:lang w:val="en-US"/>
        </w:rPr>
        <w:t>The Bangladesh Telecommunication Regulatory Commission (BTRC) may review this spectrum charges after two and half years commencing from 1 July 2006.</w:t>
      </w:r>
    </w:p>
    <w:p w:rsidR="002933A3" w:rsidRPr="00250D23" w:rsidRDefault="002933A3" w:rsidP="002933A3">
      <w:pPr>
        <w:rPr>
          <w:szCs w:val="21"/>
          <w:lang w:val="en-US"/>
        </w:rPr>
      </w:pPr>
      <w:r w:rsidRPr="00250D23">
        <w:rPr>
          <w:szCs w:val="21"/>
          <w:lang w:val="en-US"/>
        </w:rPr>
        <w:t>The above spectrum charges shall remain in force until revised/modified by the BTRC.</w:t>
      </w:r>
    </w:p>
    <w:p w:rsidR="002933A3" w:rsidRPr="002933A3" w:rsidRDefault="002933A3" w:rsidP="002E40A7">
      <w:pPr>
        <w:pStyle w:val="Heading2"/>
      </w:pPr>
      <w:bookmarkStart w:id="42" w:name="_Toc380408304"/>
      <w:r w:rsidRPr="002933A3">
        <w:t>A5.2</w:t>
      </w:r>
      <w:r w:rsidRPr="002933A3">
        <w:tab/>
        <w:t>Case of Maldives</w:t>
      </w:r>
      <w:bookmarkEnd w:id="42"/>
    </w:p>
    <w:p w:rsidR="002933A3" w:rsidRPr="00250D23" w:rsidRDefault="002933A3" w:rsidP="002933A3">
      <w:pPr>
        <w:rPr>
          <w:szCs w:val="21"/>
          <w:lang w:val="en-US"/>
        </w:rPr>
      </w:pPr>
      <w:r w:rsidRPr="00250D23">
        <w:rPr>
          <w:szCs w:val="21"/>
          <w:lang w:val="en-US"/>
        </w:rPr>
        <w:t>The fees payable for the long term usage of radio frequencies comprises of two main components, namely, the Application &amp; Processing Fee and the Frequency Management Fee.</w:t>
      </w:r>
    </w:p>
    <w:p w:rsidR="002933A3" w:rsidRPr="00250D23" w:rsidRDefault="002933A3" w:rsidP="002933A3">
      <w:pPr>
        <w:rPr>
          <w:szCs w:val="21"/>
          <w:lang w:val="en-US"/>
        </w:rPr>
      </w:pPr>
      <w:r w:rsidRPr="00250D23">
        <w:rPr>
          <w:szCs w:val="21"/>
          <w:lang w:val="en-US"/>
        </w:rPr>
        <w:t>The details of the Application &amp; Processing Fee, and the Frequency Management Fee are given as follows:</w:t>
      </w:r>
    </w:p>
    <w:p w:rsidR="002933A3" w:rsidRPr="002933A3" w:rsidRDefault="002933A3" w:rsidP="002E40A7">
      <w:pPr>
        <w:pStyle w:val="Enumlevel1"/>
      </w:pPr>
      <w:r w:rsidRPr="002933A3">
        <w:t>i)</w:t>
      </w:r>
      <w:r w:rsidRPr="002933A3">
        <w:tab/>
        <w:t>Application and Processing Fee – this is a one-time charge payable upon the approval of frequency(s) assignment. The application &amp; processing fee covers the cost of the initial activities performed in assessing the suitability of the frequency to be used for the intended application. Any changes in the technical parameters shall be deemed as a new application.</w:t>
      </w:r>
    </w:p>
    <w:p w:rsidR="002933A3" w:rsidRPr="002933A3" w:rsidRDefault="002933A3" w:rsidP="002E40A7">
      <w:pPr>
        <w:pStyle w:val="Enumlevel1"/>
      </w:pPr>
      <w:r w:rsidRPr="002933A3">
        <w:t>ii)</w:t>
      </w:r>
      <w:r w:rsidRPr="002933A3">
        <w:tab/>
        <w:t>Annual Frequency Management Fee – this is a recurrent fee payable annually to cover the cost of the activities performed to safeguard the use of the frequency(s).</w:t>
      </w:r>
    </w:p>
    <w:p w:rsidR="002933A3" w:rsidRPr="00250D23" w:rsidRDefault="002933A3" w:rsidP="002933A3">
      <w:pPr>
        <w:rPr>
          <w:szCs w:val="21"/>
          <w:lang w:val="en-US"/>
        </w:rPr>
      </w:pPr>
      <w:r w:rsidRPr="00250D23">
        <w:rPr>
          <w:szCs w:val="21"/>
          <w:lang w:val="en-US"/>
        </w:rPr>
        <w:t>Frequency fees are separately payable for the allocation and management of frequencies, apart from the station licence fees.</w:t>
      </w:r>
    </w:p>
    <w:p w:rsidR="00AF4080" w:rsidRDefault="00AF4080">
      <w:pPr>
        <w:spacing w:before="0"/>
        <w:jc w:val="left"/>
        <w:rPr>
          <w:b/>
          <w:bCs/>
          <w:lang w:val="en-AU"/>
        </w:rPr>
      </w:pPr>
      <w:r w:rsidRPr="00250D23">
        <w:rPr>
          <w:lang w:val="en-US"/>
        </w:rPr>
        <w:br w:type="page"/>
      </w:r>
    </w:p>
    <w:p w:rsidR="002933A3" w:rsidRDefault="002933A3" w:rsidP="002E40A7">
      <w:pPr>
        <w:pStyle w:val="HeadingB"/>
      </w:pPr>
      <w:r w:rsidRPr="002933A3">
        <w:lastRenderedPageBreak/>
        <w:t>Details of annual fees</w:t>
      </w:r>
    </w:p>
    <w:p w:rsidR="002E40A7" w:rsidRPr="002933A3" w:rsidRDefault="002E40A7" w:rsidP="002E40A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4263"/>
      </w:tblGrid>
      <w:tr w:rsidR="002933A3" w:rsidRPr="009B4A23" w:rsidTr="002E40A7">
        <w:trPr>
          <w:jc w:val="center"/>
        </w:trPr>
        <w:tc>
          <w:tcPr>
            <w:tcW w:w="4262" w:type="dxa"/>
            <w:tcBorders>
              <w:bottom w:val="single" w:sz="4" w:space="0" w:color="auto"/>
            </w:tcBorders>
            <w:shd w:val="clear" w:color="auto" w:fill="005173"/>
          </w:tcPr>
          <w:p w:rsidR="002933A3" w:rsidRPr="002E40A7" w:rsidRDefault="002933A3" w:rsidP="002B75C1">
            <w:pPr>
              <w:pStyle w:val="Tablehead"/>
              <w:spacing w:before="120" w:after="120"/>
            </w:pPr>
            <w:r w:rsidRPr="002E40A7">
              <w:t>Radio-frequency spectrum</w:t>
            </w:r>
          </w:p>
        </w:tc>
        <w:tc>
          <w:tcPr>
            <w:tcW w:w="4263" w:type="dxa"/>
            <w:tcBorders>
              <w:bottom w:val="single" w:sz="4" w:space="0" w:color="auto"/>
            </w:tcBorders>
            <w:shd w:val="clear" w:color="auto" w:fill="005173"/>
          </w:tcPr>
          <w:p w:rsidR="002933A3" w:rsidRPr="002E40A7" w:rsidRDefault="002933A3" w:rsidP="002B75C1">
            <w:pPr>
              <w:pStyle w:val="Tablehead"/>
              <w:spacing w:before="120" w:after="120"/>
            </w:pPr>
            <w:r w:rsidRPr="002E40A7">
              <w:t>Fee payable per frequency per annum</w:t>
            </w:r>
          </w:p>
        </w:tc>
      </w:tr>
      <w:tr w:rsidR="002933A3" w:rsidRPr="002E40A7" w:rsidTr="002E40A7">
        <w:trPr>
          <w:jc w:val="center"/>
        </w:trPr>
        <w:tc>
          <w:tcPr>
            <w:tcW w:w="4262" w:type="dxa"/>
            <w:shd w:val="clear" w:color="auto" w:fill="E8F8FD"/>
          </w:tcPr>
          <w:p w:rsidR="002933A3" w:rsidRPr="00250D23" w:rsidRDefault="002933A3" w:rsidP="002E40A7">
            <w:pPr>
              <w:pStyle w:val="Tabletext"/>
              <w:rPr>
                <w:lang w:val="en-US"/>
              </w:rPr>
            </w:pPr>
            <w:r w:rsidRPr="00250D23">
              <w:rPr>
                <w:lang w:val="en-US"/>
              </w:rPr>
              <w:t>1.</w:t>
            </w:r>
            <w:r w:rsidRPr="00250D23">
              <w:rPr>
                <w:lang w:val="en-US"/>
              </w:rPr>
              <w:tab/>
              <w:t>Frequencies for networks and systems</w:t>
            </w:r>
          </w:p>
          <w:p w:rsidR="002933A3" w:rsidRPr="00250D23" w:rsidRDefault="002933A3" w:rsidP="002E40A7">
            <w:pPr>
              <w:pStyle w:val="Tabletext"/>
              <w:rPr>
                <w:lang w:val="en-US"/>
              </w:rPr>
            </w:pPr>
            <w:r w:rsidRPr="00250D23">
              <w:rPr>
                <w:lang w:val="en-US"/>
              </w:rPr>
              <w:t>a)</w:t>
            </w:r>
            <w:r w:rsidRPr="00250D23">
              <w:rPr>
                <w:lang w:val="en-US"/>
              </w:rPr>
              <w:tab/>
              <w:t xml:space="preserve">exclusive use </w:t>
            </w:r>
          </w:p>
          <w:p w:rsidR="002933A3" w:rsidRPr="00250D23" w:rsidRDefault="002933A3" w:rsidP="002E40A7">
            <w:pPr>
              <w:pStyle w:val="Tabletext"/>
              <w:rPr>
                <w:lang w:val="en-US"/>
              </w:rPr>
            </w:pPr>
            <w:r w:rsidRPr="00250D23">
              <w:rPr>
                <w:lang w:val="en-US"/>
              </w:rPr>
              <w:t>i)</w:t>
            </w:r>
            <w:r w:rsidRPr="00250D23">
              <w:rPr>
                <w:lang w:val="en-US"/>
              </w:rPr>
              <w:tab/>
              <w:t>bandwidth of less than 1 MHz</w:t>
            </w:r>
            <w:r w:rsidRPr="00250D23">
              <w:rPr>
                <w:lang w:val="en-US"/>
              </w:rPr>
              <w:br/>
            </w:r>
          </w:p>
          <w:p w:rsidR="002933A3" w:rsidRPr="00250D23" w:rsidRDefault="002933A3" w:rsidP="002E40A7">
            <w:pPr>
              <w:pStyle w:val="Tabletext"/>
              <w:rPr>
                <w:lang w:val="en-US"/>
              </w:rPr>
            </w:pPr>
            <w:r w:rsidRPr="00250D23">
              <w:rPr>
                <w:lang w:val="en-US"/>
              </w:rPr>
              <w:t>ii)</w:t>
            </w:r>
            <w:r w:rsidRPr="00250D23">
              <w:rPr>
                <w:lang w:val="en-US"/>
              </w:rPr>
              <w:tab/>
              <w:t>bandwidth of 1 MHz or more</w:t>
            </w:r>
            <w:r w:rsidRPr="00250D23">
              <w:rPr>
                <w:lang w:val="en-US"/>
              </w:rPr>
              <w:br/>
            </w:r>
            <w:r w:rsidRPr="00250D23">
              <w:rPr>
                <w:lang w:val="en-US"/>
              </w:rPr>
              <w:br/>
            </w:r>
            <w:r w:rsidRPr="00250D23">
              <w:rPr>
                <w:lang w:val="en-US"/>
              </w:rPr>
              <w:br/>
            </w:r>
          </w:p>
          <w:p w:rsidR="002933A3" w:rsidRPr="00250D23" w:rsidRDefault="002933A3" w:rsidP="002E40A7">
            <w:pPr>
              <w:pStyle w:val="Tabletext"/>
              <w:rPr>
                <w:lang w:val="en-US"/>
              </w:rPr>
            </w:pPr>
            <w:r w:rsidRPr="00250D23">
              <w:rPr>
                <w:lang w:val="en-US"/>
              </w:rPr>
              <w:t>b)</w:t>
            </w:r>
            <w:r w:rsidRPr="00250D23">
              <w:rPr>
                <w:lang w:val="en-US"/>
              </w:rPr>
              <w:tab/>
              <w:t>shared use</w:t>
            </w:r>
          </w:p>
          <w:p w:rsidR="002933A3" w:rsidRPr="00250D23" w:rsidRDefault="002933A3" w:rsidP="002E40A7">
            <w:pPr>
              <w:pStyle w:val="Tabletext"/>
              <w:rPr>
                <w:lang w:val="en-US"/>
              </w:rPr>
            </w:pPr>
            <w:r w:rsidRPr="00250D23">
              <w:rPr>
                <w:lang w:val="en-US"/>
              </w:rPr>
              <w:t>i)</w:t>
            </w:r>
            <w:r w:rsidRPr="00250D23">
              <w:rPr>
                <w:lang w:val="en-US"/>
              </w:rPr>
              <w:tab/>
              <w:t>bandwidth of less than 300 kHz</w:t>
            </w:r>
            <w:r w:rsidRPr="00250D23">
              <w:rPr>
                <w:lang w:val="en-US"/>
              </w:rPr>
              <w:br/>
            </w:r>
          </w:p>
          <w:p w:rsidR="002933A3" w:rsidRPr="00250D23" w:rsidRDefault="002933A3" w:rsidP="002E40A7">
            <w:pPr>
              <w:pStyle w:val="Tabletext"/>
              <w:rPr>
                <w:lang w:val="en-US"/>
              </w:rPr>
            </w:pPr>
            <w:r w:rsidRPr="00250D23">
              <w:rPr>
                <w:lang w:val="en-US"/>
              </w:rPr>
              <w:t>ii)</w:t>
            </w:r>
            <w:r w:rsidRPr="00250D23">
              <w:rPr>
                <w:lang w:val="en-US"/>
              </w:rPr>
              <w:tab/>
              <w:t>bandwidth of 300 kHz or more but less than 20 MHz</w:t>
            </w:r>
          </w:p>
          <w:p w:rsidR="002933A3" w:rsidRPr="00250D23" w:rsidRDefault="002933A3" w:rsidP="002E40A7">
            <w:pPr>
              <w:pStyle w:val="Tabletext"/>
              <w:rPr>
                <w:lang w:val="en-US"/>
              </w:rPr>
            </w:pPr>
            <w:r w:rsidRPr="00250D23">
              <w:rPr>
                <w:lang w:val="en-US"/>
              </w:rPr>
              <w:t>iii)</w:t>
            </w:r>
            <w:r w:rsidRPr="00250D23">
              <w:rPr>
                <w:lang w:val="en-US"/>
              </w:rPr>
              <w:tab/>
              <w:t>bandwidth of 20 MHz or more</w:t>
            </w:r>
          </w:p>
        </w:tc>
        <w:tc>
          <w:tcPr>
            <w:tcW w:w="4263" w:type="dxa"/>
            <w:shd w:val="clear" w:color="auto" w:fill="E8F8FD"/>
          </w:tcPr>
          <w:p w:rsidR="002933A3" w:rsidRPr="00250D23" w:rsidRDefault="002933A3" w:rsidP="002E40A7">
            <w:pPr>
              <w:pStyle w:val="Tabletext"/>
              <w:rPr>
                <w:lang w:val="en-US"/>
              </w:rPr>
            </w:pPr>
          </w:p>
          <w:p w:rsidR="002933A3" w:rsidRPr="00250D23" w:rsidRDefault="002933A3" w:rsidP="002E40A7">
            <w:pPr>
              <w:pStyle w:val="Tabletext"/>
              <w:rPr>
                <w:lang w:val="en-US"/>
              </w:rPr>
            </w:pPr>
          </w:p>
          <w:p w:rsidR="002933A3" w:rsidRPr="00250D23" w:rsidRDefault="002933A3" w:rsidP="002E40A7">
            <w:pPr>
              <w:pStyle w:val="Tabletext"/>
              <w:rPr>
                <w:lang w:val="en-US"/>
              </w:rPr>
            </w:pPr>
            <w:r w:rsidRPr="00250D23">
              <w:rPr>
                <w:lang w:val="en-US"/>
              </w:rPr>
              <w:t>Rf 1 500 per 25 kHz of occupied bandwidth or part thereof</w:t>
            </w:r>
          </w:p>
          <w:p w:rsidR="002933A3" w:rsidRPr="00250D23" w:rsidRDefault="002933A3" w:rsidP="002E40A7">
            <w:pPr>
              <w:pStyle w:val="Tabletext"/>
              <w:rPr>
                <w:lang w:val="en-US"/>
              </w:rPr>
            </w:pPr>
            <w:r w:rsidRPr="00250D23">
              <w:rPr>
                <w:lang w:val="en-US"/>
              </w:rPr>
              <w:t>Rf 50 000 for the first MHz of occupied bandwidth, and Rf 10 000 per subsequent MHz of occupied bandwidth or part thereof</w:t>
            </w:r>
          </w:p>
          <w:p w:rsidR="002933A3" w:rsidRPr="00250D23" w:rsidRDefault="002933A3" w:rsidP="002E40A7">
            <w:pPr>
              <w:pStyle w:val="Tabletext"/>
              <w:rPr>
                <w:lang w:val="en-US"/>
              </w:rPr>
            </w:pPr>
          </w:p>
          <w:p w:rsidR="002933A3" w:rsidRPr="00250D23" w:rsidRDefault="002933A3" w:rsidP="002E40A7">
            <w:pPr>
              <w:pStyle w:val="Tabletext"/>
              <w:rPr>
                <w:lang w:val="en-US"/>
              </w:rPr>
            </w:pPr>
            <w:r w:rsidRPr="00250D23">
              <w:rPr>
                <w:lang w:val="en-US"/>
              </w:rPr>
              <w:t>Rf 1 500 per 25 kHz of occupied bandwidth or part thereof</w:t>
            </w:r>
          </w:p>
          <w:p w:rsidR="002933A3" w:rsidRPr="002E40A7" w:rsidRDefault="002933A3" w:rsidP="002E40A7">
            <w:pPr>
              <w:pStyle w:val="Tabletext"/>
            </w:pPr>
            <w:r w:rsidRPr="002E40A7">
              <w:t>Rf 20 000</w:t>
            </w:r>
            <w:r w:rsidRPr="002E40A7">
              <w:br/>
            </w:r>
          </w:p>
          <w:p w:rsidR="002933A3" w:rsidRPr="002E40A7" w:rsidRDefault="002933A3" w:rsidP="002E40A7">
            <w:pPr>
              <w:pStyle w:val="Tabletext"/>
            </w:pPr>
            <w:r w:rsidRPr="002E40A7">
              <w:t>Rf 35 000</w:t>
            </w:r>
          </w:p>
        </w:tc>
      </w:tr>
      <w:tr w:rsidR="002933A3" w:rsidRPr="002E40A7" w:rsidTr="002E40A7">
        <w:trPr>
          <w:jc w:val="center"/>
        </w:trPr>
        <w:tc>
          <w:tcPr>
            <w:tcW w:w="4262" w:type="dxa"/>
            <w:tcBorders>
              <w:bottom w:val="single" w:sz="4" w:space="0" w:color="auto"/>
            </w:tcBorders>
          </w:tcPr>
          <w:p w:rsidR="002933A3" w:rsidRPr="00250D23" w:rsidRDefault="002933A3" w:rsidP="002E40A7">
            <w:pPr>
              <w:pStyle w:val="Tabletext"/>
              <w:rPr>
                <w:lang w:val="en-US"/>
              </w:rPr>
            </w:pPr>
            <w:r w:rsidRPr="00250D23">
              <w:rPr>
                <w:lang w:val="en-US"/>
              </w:rPr>
              <w:t xml:space="preserve">2. </w:t>
            </w:r>
            <w:r w:rsidRPr="00250D23">
              <w:rPr>
                <w:lang w:val="en-US"/>
              </w:rPr>
              <w:tab/>
              <w:t>Terrestrial broadcasting frequencies</w:t>
            </w:r>
          </w:p>
          <w:p w:rsidR="002933A3" w:rsidRPr="00250D23" w:rsidRDefault="002933A3" w:rsidP="002E40A7">
            <w:pPr>
              <w:pStyle w:val="Tabletext"/>
              <w:rPr>
                <w:lang w:val="en-US"/>
              </w:rPr>
            </w:pPr>
            <w:r w:rsidRPr="00250D23">
              <w:rPr>
                <w:lang w:val="en-US"/>
              </w:rPr>
              <w:t>a)</w:t>
            </w:r>
            <w:r w:rsidRPr="00250D23">
              <w:rPr>
                <w:lang w:val="en-US"/>
              </w:rPr>
              <w:tab/>
              <w:t>FM radio broadcasting channels</w:t>
            </w:r>
          </w:p>
          <w:p w:rsidR="002933A3" w:rsidRPr="00250D23" w:rsidRDefault="002933A3" w:rsidP="002E40A7">
            <w:pPr>
              <w:pStyle w:val="Tabletext"/>
              <w:rPr>
                <w:lang w:val="en-US"/>
              </w:rPr>
            </w:pPr>
            <w:r w:rsidRPr="00250D23">
              <w:rPr>
                <w:lang w:val="en-US"/>
              </w:rPr>
              <w:t>i)</w:t>
            </w:r>
            <w:r w:rsidRPr="00250D23">
              <w:rPr>
                <w:lang w:val="en-US"/>
              </w:rPr>
              <w:tab/>
              <w:t>National use (one pair)</w:t>
            </w:r>
          </w:p>
          <w:p w:rsidR="002933A3" w:rsidRPr="002E40A7" w:rsidRDefault="002933A3" w:rsidP="002E40A7">
            <w:pPr>
              <w:pStyle w:val="Tabletext"/>
              <w:rPr>
                <w:lang w:val="de-DE"/>
              </w:rPr>
            </w:pPr>
            <w:r w:rsidRPr="002E40A7">
              <w:rPr>
                <w:lang w:val="de-DE"/>
              </w:rPr>
              <w:t>ii)</w:t>
            </w:r>
            <w:r w:rsidRPr="002E40A7">
              <w:rPr>
                <w:lang w:val="de-DE"/>
              </w:rPr>
              <w:tab/>
              <w:t>Atoll Region</w:t>
            </w:r>
          </w:p>
          <w:p w:rsidR="002933A3" w:rsidRPr="002E40A7" w:rsidRDefault="002933A3" w:rsidP="002E40A7">
            <w:pPr>
              <w:pStyle w:val="Tabletext"/>
              <w:rPr>
                <w:lang w:val="de-DE"/>
              </w:rPr>
            </w:pPr>
            <w:r w:rsidRPr="002E40A7">
              <w:rPr>
                <w:lang w:val="de-DE"/>
              </w:rPr>
              <w:t>iii)</w:t>
            </w:r>
            <w:r w:rsidRPr="002E40A7">
              <w:rPr>
                <w:lang w:val="de-DE"/>
              </w:rPr>
              <w:tab/>
              <w:t>Malé Region</w:t>
            </w:r>
          </w:p>
          <w:p w:rsidR="002933A3" w:rsidRPr="00250D23" w:rsidRDefault="002933A3" w:rsidP="002E40A7">
            <w:pPr>
              <w:pStyle w:val="Tabletext"/>
              <w:rPr>
                <w:lang w:val="en-US"/>
              </w:rPr>
            </w:pPr>
            <w:r w:rsidRPr="00250D23">
              <w:rPr>
                <w:lang w:val="en-US"/>
              </w:rPr>
              <w:t>iv)</w:t>
            </w:r>
            <w:r w:rsidRPr="00250D23">
              <w:rPr>
                <w:lang w:val="en-US"/>
              </w:rPr>
              <w:tab/>
              <w:t>Community level</w:t>
            </w:r>
          </w:p>
          <w:p w:rsidR="002933A3" w:rsidRPr="00250D23" w:rsidRDefault="002933A3" w:rsidP="002E40A7">
            <w:pPr>
              <w:pStyle w:val="Tabletext"/>
              <w:rPr>
                <w:lang w:val="en-US"/>
              </w:rPr>
            </w:pPr>
            <w:r w:rsidRPr="00250D23">
              <w:rPr>
                <w:lang w:val="en-US"/>
              </w:rPr>
              <w:t>(b)</w:t>
            </w:r>
            <w:r w:rsidRPr="00250D23">
              <w:rPr>
                <w:lang w:val="en-US"/>
              </w:rPr>
              <w:tab/>
              <w:t>TV Broadcasting channels</w:t>
            </w:r>
          </w:p>
          <w:p w:rsidR="002933A3" w:rsidRPr="00250D23" w:rsidRDefault="002933A3" w:rsidP="002E40A7">
            <w:pPr>
              <w:pStyle w:val="Tabletext"/>
              <w:rPr>
                <w:lang w:val="en-US"/>
              </w:rPr>
            </w:pPr>
            <w:r w:rsidRPr="00250D23">
              <w:rPr>
                <w:lang w:val="en-US"/>
              </w:rPr>
              <w:t>i)</w:t>
            </w:r>
            <w:r w:rsidRPr="00250D23">
              <w:rPr>
                <w:lang w:val="en-US"/>
              </w:rPr>
              <w:tab/>
              <w:t>National use (one pair)</w:t>
            </w:r>
          </w:p>
          <w:p w:rsidR="002933A3" w:rsidRPr="002E40A7" w:rsidRDefault="002933A3" w:rsidP="002E40A7">
            <w:pPr>
              <w:pStyle w:val="Tabletext"/>
              <w:rPr>
                <w:lang w:val="de-DE"/>
              </w:rPr>
            </w:pPr>
            <w:r w:rsidRPr="002E40A7">
              <w:rPr>
                <w:lang w:val="de-DE"/>
              </w:rPr>
              <w:t>ii)</w:t>
            </w:r>
            <w:r w:rsidRPr="002E40A7">
              <w:rPr>
                <w:lang w:val="de-DE"/>
              </w:rPr>
              <w:tab/>
              <w:t>Atoll Region</w:t>
            </w:r>
          </w:p>
          <w:p w:rsidR="002933A3" w:rsidRPr="002E40A7" w:rsidRDefault="002933A3" w:rsidP="002E40A7">
            <w:pPr>
              <w:pStyle w:val="Tabletext"/>
              <w:rPr>
                <w:lang w:val="de-DE"/>
              </w:rPr>
            </w:pPr>
            <w:r w:rsidRPr="002E40A7">
              <w:rPr>
                <w:lang w:val="de-DE"/>
              </w:rPr>
              <w:t>iii)</w:t>
            </w:r>
            <w:r w:rsidRPr="002E40A7">
              <w:rPr>
                <w:lang w:val="de-DE"/>
              </w:rPr>
              <w:tab/>
              <w:t>Malé Region</w:t>
            </w:r>
          </w:p>
        </w:tc>
        <w:tc>
          <w:tcPr>
            <w:tcW w:w="4263" w:type="dxa"/>
            <w:tcBorders>
              <w:bottom w:val="single" w:sz="4" w:space="0" w:color="auto"/>
            </w:tcBorders>
          </w:tcPr>
          <w:p w:rsidR="002933A3" w:rsidRPr="002E40A7" w:rsidRDefault="002933A3" w:rsidP="002E40A7">
            <w:pPr>
              <w:pStyle w:val="Tabletext"/>
              <w:rPr>
                <w:lang w:val="de-DE"/>
              </w:rPr>
            </w:pPr>
          </w:p>
          <w:p w:rsidR="002933A3" w:rsidRPr="002E40A7" w:rsidRDefault="002933A3" w:rsidP="002E40A7">
            <w:pPr>
              <w:pStyle w:val="Tabletext"/>
              <w:rPr>
                <w:lang w:val="de-DE"/>
              </w:rPr>
            </w:pPr>
          </w:p>
          <w:p w:rsidR="002933A3" w:rsidRPr="002E40A7" w:rsidRDefault="002933A3" w:rsidP="002E40A7">
            <w:pPr>
              <w:pStyle w:val="Tabletext"/>
              <w:rPr>
                <w:lang w:val="de-DE"/>
              </w:rPr>
            </w:pPr>
            <w:r w:rsidRPr="002E40A7">
              <w:rPr>
                <w:lang w:val="de-DE"/>
              </w:rPr>
              <w:t>Rf 100 000</w:t>
            </w:r>
          </w:p>
          <w:p w:rsidR="002933A3" w:rsidRPr="002E40A7" w:rsidRDefault="002933A3" w:rsidP="002E40A7">
            <w:pPr>
              <w:pStyle w:val="Tabletext"/>
              <w:rPr>
                <w:lang w:val="de-DE"/>
              </w:rPr>
            </w:pPr>
            <w:r w:rsidRPr="002E40A7">
              <w:rPr>
                <w:lang w:val="de-DE"/>
              </w:rPr>
              <w:t>Rf 15 000</w:t>
            </w:r>
          </w:p>
          <w:p w:rsidR="002933A3" w:rsidRPr="002E40A7" w:rsidRDefault="002933A3" w:rsidP="002E40A7">
            <w:pPr>
              <w:pStyle w:val="Tabletext"/>
              <w:rPr>
                <w:lang w:val="de-DE"/>
              </w:rPr>
            </w:pPr>
            <w:r w:rsidRPr="002E40A7">
              <w:rPr>
                <w:lang w:val="de-DE"/>
              </w:rPr>
              <w:t>Rf 30 000</w:t>
            </w:r>
          </w:p>
          <w:p w:rsidR="002933A3" w:rsidRPr="002E40A7" w:rsidRDefault="002933A3" w:rsidP="002E40A7">
            <w:pPr>
              <w:pStyle w:val="Tabletext"/>
              <w:rPr>
                <w:lang w:val="de-DE"/>
              </w:rPr>
            </w:pPr>
            <w:r w:rsidRPr="002E40A7">
              <w:rPr>
                <w:lang w:val="de-DE"/>
              </w:rPr>
              <w:t>Rf 2 000</w:t>
            </w:r>
          </w:p>
          <w:p w:rsidR="002933A3" w:rsidRPr="002E40A7" w:rsidRDefault="002933A3" w:rsidP="002E40A7">
            <w:pPr>
              <w:pStyle w:val="Tabletext"/>
              <w:rPr>
                <w:lang w:val="de-DE"/>
              </w:rPr>
            </w:pPr>
          </w:p>
          <w:p w:rsidR="002933A3" w:rsidRPr="002E40A7" w:rsidRDefault="002933A3" w:rsidP="002E40A7">
            <w:pPr>
              <w:pStyle w:val="Tabletext"/>
              <w:rPr>
                <w:lang w:val="de-DE"/>
              </w:rPr>
            </w:pPr>
            <w:r w:rsidRPr="002E40A7">
              <w:rPr>
                <w:lang w:val="de-DE"/>
              </w:rPr>
              <w:t>Rf 500 000</w:t>
            </w:r>
          </w:p>
          <w:p w:rsidR="002933A3" w:rsidRPr="002E40A7" w:rsidRDefault="002933A3" w:rsidP="002E40A7">
            <w:pPr>
              <w:pStyle w:val="Tabletext"/>
            </w:pPr>
            <w:r w:rsidRPr="002E40A7">
              <w:t>Rf 75 000</w:t>
            </w:r>
          </w:p>
          <w:p w:rsidR="002933A3" w:rsidRPr="002E40A7" w:rsidRDefault="002933A3" w:rsidP="002E40A7">
            <w:pPr>
              <w:pStyle w:val="Tabletext"/>
            </w:pPr>
            <w:r w:rsidRPr="002E40A7">
              <w:t>Rf 150 000</w:t>
            </w:r>
          </w:p>
        </w:tc>
      </w:tr>
      <w:tr w:rsidR="002933A3" w:rsidRPr="002E40A7" w:rsidTr="002E40A7">
        <w:trPr>
          <w:jc w:val="center"/>
        </w:trPr>
        <w:tc>
          <w:tcPr>
            <w:tcW w:w="4262" w:type="dxa"/>
            <w:shd w:val="clear" w:color="auto" w:fill="E8F8FD"/>
          </w:tcPr>
          <w:p w:rsidR="002933A3" w:rsidRPr="002E40A7" w:rsidRDefault="002933A3" w:rsidP="002E40A7">
            <w:pPr>
              <w:pStyle w:val="Tabletext"/>
              <w:rPr>
                <w:rtl/>
              </w:rPr>
            </w:pPr>
            <w:r w:rsidRPr="00250D23">
              <w:rPr>
                <w:lang w:val="en-US"/>
              </w:rPr>
              <w:t xml:space="preserve">3. </w:t>
            </w:r>
            <w:r w:rsidRPr="00250D23">
              <w:rPr>
                <w:lang w:val="en-US"/>
              </w:rPr>
              <w:tab/>
              <w:t xml:space="preserve">Common frequencies for in-building or onsite </w:t>
            </w:r>
            <w:r w:rsidR="002E40A7" w:rsidRPr="00250D23">
              <w:rPr>
                <w:lang w:val="en-US"/>
              </w:rPr>
              <w:tab/>
            </w:r>
            <w:r w:rsidRPr="00250D23">
              <w:rPr>
                <w:lang w:val="en-US"/>
              </w:rPr>
              <w:t xml:space="preserve">wireless systems </w:t>
            </w:r>
          </w:p>
          <w:p w:rsidR="002933A3" w:rsidRPr="00250D23" w:rsidRDefault="002933A3" w:rsidP="002E40A7">
            <w:pPr>
              <w:pStyle w:val="Tabletext"/>
              <w:rPr>
                <w:lang w:val="en-US"/>
              </w:rPr>
            </w:pPr>
            <w:r w:rsidRPr="00250D23">
              <w:rPr>
                <w:lang w:val="en-US"/>
              </w:rPr>
              <w:t>a)</w:t>
            </w:r>
            <w:r w:rsidRPr="00250D23">
              <w:rPr>
                <w:lang w:val="en-US"/>
              </w:rPr>
              <w:tab/>
              <w:t>bandwidth of 20 MHz or less</w:t>
            </w:r>
          </w:p>
          <w:p w:rsidR="002933A3" w:rsidRPr="00250D23" w:rsidRDefault="002933A3" w:rsidP="002E40A7">
            <w:pPr>
              <w:pStyle w:val="Tabletext"/>
              <w:rPr>
                <w:lang w:val="en-US"/>
              </w:rPr>
            </w:pPr>
            <w:r w:rsidRPr="00250D23">
              <w:rPr>
                <w:lang w:val="en-US"/>
              </w:rPr>
              <w:t>b)</w:t>
            </w:r>
            <w:r w:rsidRPr="00250D23">
              <w:rPr>
                <w:lang w:val="en-US"/>
              </w:rPr>
              <w:tab/>
              <w:t xml:space="preserve">bandwidth of more than 20 MHz but not </w:t>
            </w:r>
            <w:r w:rsidR="002E40A7" w:rsidRPr="00250D23">
              <w:rPr>
                <w:lang w:val="en-US"/>
              </w:rPr>
              <w:tab/>
            </w:r>
            <w:r w:rsidRPr="00250D23">
              <w:rPr>
                <w:lang w:val="en-US"/>
              </w:rPr>
              <w:t>exceeding 50 MHz</w:t>
            </w:r>
          </w:p>
          <w:p w:rsidR="002933A3" w:rsidRPr="00250D23" w:rsidRDefault="002933A3" w:rsidP="002E40A7">
            <w:pPr>
              <w:pStyle w:val="Tabletext"/>
              <w:rPr>
                <w:lang w:val="en-US"/>
              </w:rPr>
            </w:pPr>
            <w:r w:rsidRPr="00250D23">
              <w:rPr>
                <w:lang w:val="en-US"/>
              </w:rPr>
              <w:t>c)</w:t>
            </w:r>
            <w:r w:rsidRPr="00250D23">
              <w:rPr>
                <w:lang w:val="en-US"/>
              </w:rPr>
              <w:tab/>
              <w:t>bandwidth of more than 50 MHz</w:t>
            </w:r>
          </w:p>
        </w:tc>
        <w:tc>
          <w:tcPr>
            <w:tcW w:w="4263" w:type="dxa"/>
            <w:shd w:val="clear" w:color="auto" w:fill="E8F8FD"/>
          </w:tcPr>
          <w:p w:rsidR="002933A3" w:rsidRPr="002E40A7" w:rsidRDefault="002933A3" w:rsidP="002E40A7">
            <w:pPr>
              <w:pStyle w:val="Tabletext"/>
              <w:rPr>
                <w:i/>
                <w:iCs/>
                <w:lang w:val="de-DE"/>
              </w:rPr>
            </w:pPr>
            <w:r w:rsidRPr="002E40A7">
              <w:rPr>
                <w:i/>
                <w:iCs/>
                <w:lang w:val="de-DE"/>
              </w:rPr>
              <w:t>ISM band</w:t>
            </w:r>
            <w:r w:rsidRPr="002E40A7">
              <w:rPr>
                <w:i/>
                <w:iCs/>
                <w:lang w:val="de-DE"/>
              </w:rPr>
              <w:tab/>
              <w:t>Non-ISM band</w:t>
            </w:r>
          </w:p>
          <w:p w:rsidR="002933A3" w:rsidRPr="002E40A7" w:rsidRDefault="002933A3" w:rsidP="002B75C1">
            <w:pPr>
              <w:pStyle w:val="Tabletext"/>
              <w:rPr>
                <w:lang w:val="de-DE"/>
              </w:rPr>
            </w:pPr>
            <w:r w:rsidRPr="002E40A7">
              <w:rPr>
                <w:lang w:val="de-DE"/>
              </w:rPr>
              <w:br/>
              <w:t xml:space="preserve">Rf 300 </w:t>
            </w:r>
            <w:r w:rsidRPr="002E40A7">
              <w:rPr>
                <w:lang w:val="de-DE"/>
              </w:rPr>
              <w:tab/>
            </w:r>
            <w:r w:rsidRPr="002E40A7">
              <w:rPr>
                <w:lang w:val="de-DE"/>
              </w:rPr>
              <w:tab/>
              <w:t>Rf 600</w:t>
            </w:r>
          </w:p>
          <w:p w:rsidR="002933A3" w:rsidRPr="002E40A7" w:rsidRDefault="002933A3" w:rsidP="002E40A7">
            <w:pPr>
              <w:pStyle w:val="Tabletext"/>
            </w:pPr>
            <w:r w:rsidRPr="002E40A7">
              <w:t>Rf 600</w:t>
            </w:r>
            <w:r w:rsidRPr="002E40A7">
              <w:tab/>
            </w:r>
            <w:r w:rsidRPr="002E40A7">
              <w:tab/>
              <w:t>Rf 1 200</w:t>
            </w:r>
          </w:p>
          <w:p w:rsidR="002933A3" w:rsidRPr="002E40A7" w:rsidRDefault="002933A3" w:rsidP="002B75C1">
            <w:pPr>
              <w:pStyle w:val="Tabletext"/>
            </w:pPr>
            <w:r w:rsidRPr="002E40A7">
              <w:br/>
              <w:t xml:space="preserve">Rf 1 000 </w:t>
            </w:r>
            <w:r w:rsidRPr="002E40A7">
              <w:tab/>
              <w:t>Rf 2 000</w:t>
            </w:r>
          </w:p>
        </w:tc>
      </w:tr>
    </w:tbl>
    <w:p w:rsidR="002E40A7" w:rsidRDefault="002E40A7" w:rsidP="002E40A7">
      <w:pPr>
        <w:rPr>
          <w:lang w:val="en-US"/>
        </w:rPr>
      </w:pPr>
    </w:p>
    <w:p w:rsidR="002933A3" w:rsidRPr="002933A3" w:rsidRDefault="002933A3" w:rsidP="002B75C1">
      <w:pPr>
        <w:pStyle w:val="Heading2"/>
      </w:pPr>
      <w:bookmarkStart w:id="43" w:name="_Toc380408305"/>
      <w:r w:rsidRPr="002933A3">
        <w:t>5.3</w:t>
      </w:r>
      <w:r w:rsidRPr="002933A3">
        <w:tab/>
        <w:t>Case of Cuba</w:t>
      </w:r>
      <w:bookmarkEnd w:id="43"/>
    </w:p>
    <w:p w:rsidR="002933A3" w:rsidRPr="00250D23" w:rsidRDefault="002933A3" w:rsidP="002933A3">
      <w:pPr>
        <w:rPr>
          <w:szCs w:val="21"/>
          <w:lang w:val="en-US"/>
        </w:rPr>
      </w:pPr>
      <w:r w:rsidRPr="00250D23">
        <w:rPr>
          <w:szCs w:val="21"/>
          <w:lang w:val="en-US"/>
        </w:rPr>
        <w:t>Spectrum valorization imposed in each scenario, the accounting implementation of its use with regard to the speed evolution and development of the up-to-date radiocommunications. By mean of the tridimensional evaluation (Required bandwidth, associated area, annual part of time) of each frequency assignment of national register, we can obtain a size proportional to the use of each assigned frequency and with additional ponderation index introduction; it is possible to modulate this size to take into account different aspects of the telecommunications policy for various uses and services in the framework of a determined scenario.</w:t>
      </w:r>
    </w:p>
    <w:p w:rsidR="002933A3" w:rsidRPr="00250D23" w:rsidRDefault="002933A3" w:rsidP="002933A3">
      <w:pPr>
        <w:rPr>
          <w:szCs w:val="21"/>
          <w:lang w:val="en-US"/>
        </w:rPr>
      </w:pPr>
      <w:r w:rsidRPr="00250D23">
        <w:rPr>
          <w:szCs w:val="21"/>
          <w:lang w:val="en-US"/>
        </w:rPr>
        <w:t xml:space="preserve">By applying this procedure to all assignments included in the national frequency register, it is possible to obtain a reasonable estimate of the value of the authorized and updated radio-frequency spectrum. By linking this result with the annual cost incurred by the administration in connection with national management of the spectrum, with a specified level of efficacy and efficiency, it is possible to calculate the value for the tridimensional weighted unit of authorized spectrum use, which makes it possible to put a value directly on each frequency assignment or group of assignments in a way that is proportional and </w:t>
      </w:r>
      <w:r w:rsidRPr="00250D23">
        <w:rPr>
          <w:szCs w:val="21"/>
          <w:lang w:val="en-US"/>
        </w:rPr>
        <w:lastRenderedPageBreak/>
        <w:t>automatic. Lastly, further readjustments of the values obtained, within acceptable limits, can be obtained in a practicable and simple manner.</w:t>
      </w:r>
    </w:p>
    <w:p w:rsidR="002933A3" w:rsidRPr="00250D23" w:rsidRDefault="002933A3" w:rsidP="002933A3">
      <w:pPr>
        <w:rPr>
          <w:szCs w:val="21"/>
          <w:lang w:val="en-US"/>
        </w:rPr>
      </w:pPr>
      <w:r w:rsidRPr="00250D23">
        <w:rPr>
          <w:szCs w:val="21"/>
          <w:lang w:val="en-US"/>
        </w:rPr>
        <w:t>Particular attention must be paid to the choice of weighting indicators applied to each frequency assignment. That choice determines the extent to which the model matches the particular conditions of each specific case.</w:t>
      </w:r>
    </w:p>
    <w:p w:rsidR="002933A3" w:rsidRPr="002933A3" w:rsidRDefault="002933A3" w:rsidP="002B75C1">
      <w:pPr>
        <w:pStyle w:val="Heading2"/>
      </w:pPr>
      <w:bookmarkStart w:id="44" w:name="_Toc380408306"/>
      <w:r w:rsidRPr="002933A3">
        <w:t>5.4</w:t>
      </w:r>
      <w:r w:rsidRPr="002933A3">
        <w:tab/>
        <w:t>Case of Democratic Republic of the Congo</w:t>
      </w:r>
      <w:bookmarkEnd w:id="44"/>
    </w:p>
    <w:p w:rsidR="002933A3" w:rsidRPr="00250D23" w:rsidRDefault="002933A3" w:rsidP="002933A3">
      <w:pPr>
        <w:rPr>
          <w:szCs w:val="21"/>
          <w:lang w:val="en-US"/>
        </w:rPr>
      </w:pPr>
      <w:r w:rsidRPr="00250D23">
        <w:rPr>
          <w:szCs w:val="21"/>
          <w:lang w:val="en-US"/>
        </w:rPr>
        <w:t>In the Democratic Republic of the Congo, spectrum utilization fees are not set based on any market principle, but are often based on international benchmarking.</w:t>
      </w:r>
    </w:p>
    <w:p w:rsidR="002933A3" w:rsidRPr="00250D23" w:rsidRDefault="002933A3" w:rsidP="002933A3">
      <w:pPr>
        <w:rPr>
          <w:szCs w:val="21"/>
          <w:lang w:val="en-US"/>
        </w:rPr>
      </w:pPr>
      <w:r w:rsidRPr="00250D23">
        <w:rPr>
          <w:szCs w:val="21"/>
          <w:lang w:val="en-US"/>
        </w:rPr>
        <w:t>Their value is then dictated by budgetary considerations at the public authority's level. As its economic value is not known in advance, and is certainly not estimated using any scientific methodology, this resource can represent a profit loss and/or act as a brake to the sector's development should its value be overestimated for budgetary reasons.</w:t>
      </w:r>
    </w:p>
    <w:p w:rsidR="002933A3" w:rsidRPr="00250D23" w:rsidRDefault="002933A3" w:rsidP="002933A3">
      <w:pPr>
        <w:rPr>
          <w:szCs w:val="21"/>
          <w:lang w:val="en-US"/>
        </w:rPr>
      </w:pPr>
      <w:r w:rsidRPr="00250D23">
        <w:rPr>
          <w:szCs w:val="21"/>
          <w:lang w:val="en-US"/>
        </w:rPr>
        <w:t>For the Congolese regulator, the frequency utilization method retained must take account of the opportunity cost of spectrum occupancy, or "Fees conducive to administrative incentive pricing".</w:t>
      </w:r>
    </w:p>
    <w:p w:rsidR="002933A3" w:rsidRPr="00250D23" w:rsidRDefault="002933A3" w:rsidP="002933A3">
      <w:pPr>
        <w:rPr>
          <w:szCs w:val="21"/>
          <w:lang w:val="en-US"/>
        </w:rPr>
      </w:pPr>
      <w:r w:rsidRPr="00250D23">
        <w:rPr>
          <w:szCs w:val="21"/>
          <w:lang w:val="en-US"/>
        </w:rPr>
        <w:t>This approach aims to use the price to encourage the efficient use of the spectrum.</w:t>
      </w:r>
    </w:p>
    <w:p w:rsidR="002933A3" w:rsidRPr="00250D23" w:rsidRDefault="002933A3" w:rsidP="002933A3">
      <w:pPr>
        <w:rPr>
          <w:szCs w:val="21"/>
          <w:lang w:val="en-US"/>
        </w:rPr>
      </w:pPr>
      <w:r w:rsidRPr="00250D23">
        <w:rPr>
          <w:szCs w:val="21"/>
          <w:lang w:val="en-US"/>
        </w:rPr>
        <w:t>In calculating the conducive fees, the regulator plans to take several aspects of spectrum utilization into account, including:</w:t>
      </w:r>
    </w:p>
    <w:p w:rsidR="002933A3" w:rsidRPr="002933A3" w:rsidRDefault="002B75C1" w:rsidP="002B75C1">
      <w:pPr>
        <w:pStyle w:val="Enumlevel1"/>
      </w:pPr>
      <w:r>
        <w:t>–</w:t>
      </w:r>
      <w:r>
        <w:tab/>
      </w:r>
      <w:r w:rsidR="002933A3" w:rsidRPr="002933A3">
        <w:t>territory covered;</w:t>
      </w:r>
    </w:p>
    <w:p w:rsidR="002933A3" w:rsidRPr="002933A3" w:rsidRDefault="002B75C1" w:rsidP="002B75C1">
      <w:pPr>
        <w:pStyle w:val="Enumlevel1"/>
      </w:pPr>
      <w:r>
        <w:t>–</w:t>
      </w:r>
      <w:r>
        <w:tab/>
      </w:r>
      <w:r w:rsidR="002933A3" w:rsidRPr="002933A3">
        <w:t>possible degree of frequency sharing;</w:t>
      </w:r>
    </w:p>
    <w:p w:rsidR="002933A3" w:rsidRPr="002933A3" w:rsidRDefault="002B75C1" w:rsidP="002B75C1">
      <w:pPr>
        <w:pStyle w:val="Enumlevel1"/>
      </w:pPr>
      <w:r>
        <w:t>–</w:t>
      </w:r>
      <w:r>
        <w:tab/>
      </w:r>
      <w:r w:rsidR="002933A3" w:rsidRPr="002933A3">
        <w:t>demographic density;</w:t>
      </w:r>
    </w:p>
    <w:p w:rsidR="002933A3" w:rsidRDefault="002B75C1" w:rsidP="002B75C1">
      <w:pPr>
        <w:pStyle w:val="Enumlevel1"/>
      </w:pPr>
      <w:r>
        <w:t>–</w:t>
      </w:r>
      <w:r>
        <w:tab/>
      </w:r>
      <w:r w:rsidR="002933A3" w:rsidRPr="002933A3">
        <w:t>authorized power levels;</w:t>
      </w:r>
    </w:p>
    <w:p w:rsidR="002B75C1" w:rsidRDefault="002B75C1" w:rsidP="002B75C1">
      <w:pPr>
        <w:pStyle w:val="Enumlevel1"/>
      </w:pPr>
      <w:r>
        <w:t>–</w:t>
      </w:r>
      <w:r>
        <w:tab/>
      </w:r>
      <w:r w:rsidRPr="002933A3">
        <w:t>bandwidth;</w:t>
      </w:r>
    </w:p>
    <w:p w:rsidR="002B75C1" w:rsidRPr="002933A3" w:rsidRDefault="002B75C1" w:rsidP="002B75C1">
      <w:pPr>
        <w:pStyle w:val="Enumlevel1"/>
      </w:pPr>
      <w:r>
        <w:t>–</w:t>
      </w:r>
      <w:r>
        <w:tab/>
      </w:r>
      <w:r w:rsidRPr="002933A3">
        <w:t>scarcity of frequencies.</w:t>
      </w:r>
    </w:p>
    <w:p w:rsidR="002933A3" w:rsidRPr="00250D23" w:rsidRDefault="002933A3" w:rsidP="002B75C1">
      <w:pPr>
        <w:rPr>
          <w:lang w:val="en-US"/>
        </w:rPr>
      </w:pPr>
      <w:r w:rsidRPr="00250D23">
        <w:rPr>
          <w:lang w:val="en-US"/>
        </w:rPr>
        <w:t>This method, known as the administrative method, essentially takes account of frequency-related criteria, the equipment used and socio-economic criteria.</w:t>
      </w:r>
    </w:p>
    <w:p w:rsidR="002933A3" w:rsidRPr="002933A3" w:rsidRDefault="002933A3" w:rsidP="002B75C1">
      <w:pPr>
        <w:pStyle w:val="Heading2"/>
      </w:pPr>
      <w:bookmarkStart w:id="45" w:name="_Toc380408307"/>
      <w:r w:rsidRPr="002933A3">
        <w:t>5.5</w:t>
      </w:r>
      <w:r w:rsidRPr="002933A3">
        <w:tab/>
        <w:t>Case of Gambia</w:t>
      </w:r>
      <w:bookmarkEnd w:id="45"/>
    </w:p>
    <w:p w:rsidR="002933A3" w:rsidRPr="00250D23" w:rsidRDefault="002933A3" w:rsidP="002933A3">
      <w:pPr>
        <w:rPr>
          <w:szCs w:val="21"/>
          <w:lang w:val="en-US"/>
        </w:rPr>
      </w:pPr>
      <w:r w:rsidRPr="00250D23">
        <w:rPr>
          <w:szCs w:val="21"/>
          <w:lang w:val="en-US"/>
        </w:rPr>
        <w:t>The following fees should be applied:</w:t>
      </w:r>
    </w:p>
    <w:p w:rsidR="002933A3" w:rsidRPr="002933A3" w:rsidRDefault="002B75C1" w:rsidP="002B75C1">
      <w:pPr>
        <w:pStyle w:val="Enumlevel1"/>
      </w:pPr>
      <w:r>
        <w:t>1)</w:t>
      </w:r>
      <w:r>
        <w:tab/>
      </w:r>
      <w:r w:rsidR="002933A3" w:rsidRPr="002933A3">
        <w:t xml:space="preserve">Application fee for all category of services </w:t>
      </w:r>
    </w:p>
    <w:p w:rsidR="002933A3" w:rsidRPr="002933A3" w:rsidRDefault="002B75C1" w:rsidP="002B75C1">
      <w:pPr>
        <w:pStyle w:val="Enumlevel1"/>
      </w:pPr>
      <w:r>
        <w:t>2)</w:t>
      </w:r>
      <w:r>
        <w:tab/>
      </w:r>
      <w:r w:rsidR="002933A3" w:rsidRPr="002933A3">
        <w:t>License Fee</w:t>
      </w:r>
    </w:p>
    <w:p w:rsidR="002933A3" w:rsidRPr="002933A3" w:rsidRDefault="002B75C1" w:rsidP="002B75C1">
      <w:pPr>
        <w:pStyle w:val="Enumlevel1"/>
      </w:pPr>
      <w:r>
        <w:t>3)</w:t>
      </w:r>
      <w:r>
        <w:tab/>
      </w:r>
      <w:r w:rsidR="002933A3" w:rsidRPr="002933A3">
        <w:t>Annual Spectrum Fee</w:t>
      </w:r>
    </w:p>
    <w:p w:rsidR="002933A3" w:rsidRPr="00250D23" w:rsidRDefault="002933A3" w:rsidP="002B75C1">
      <w:pPr>
        <w:rPr>
          <w:lang w:val="en-US"/>
        </w:rPr>
      </w:pPr>
      <w:r w:rsidRPr="00250D23">
        <w:rPr>
          <w:lang w:val="en-US"/>
        </w:rPr>
        <w:t>The fees recommended should be based on the following service categories:</w:t>
      </w:r>
    </w:p>
    <w:p w:rsidR="002933A3" w:rsidRPr="002933A3" w:rsidRDefault="002B75C1" w:rsidP="002B75C1">
      <w:pPr>
        <w:pStyle w:val="Enumlevel1"/>
      </w:pPr>
      <w:r>
        <w:t>–</w:t>
      </w:r>
      <w:r>
        <w:tab/>
      </w:r>
      <w:r w:rsidR="002933A3" w:rsidRPr="002933A3">
        <w:t>Broadcasting:</w:t>
      </w:r>
    </w:p>
    <w:p w:rsidR="002933A3" w:rsidRPr="002933A3" w:rsidRDefault="002B75C1" w:rsidP="002B75C1">
      <w:pPr>
        <w:pStyle w:val="Enumlevel1"/>
      </w:pPr>
      <w:r>
        <w:t>–</w:t>
      </w:r>
      <w:r>
        <w:tab/>
      </w:r>
      <w:r w:rsidR="002933A3" w:rsidRPr="002933A3">
        <w:t>Radio</w:t>
      </w:r>
    </w:p>
    <w:p w:rsidR="002933A3" w:rsidRPr="002933A3" w:rsidRDefault="002B75C1" w:rsidP="002B75C1">
      <w:pPr>
        <w:pStyle w:val="Enumlevel1"/>
      </w:pPr>
      <w:r>
        <w:t>–</w:t>
      </w:r>
      <w:r>
        <w:tab/>
      </w:r>
      <w:r w:rsidR="002933A3" w:rsidRPr="002933A3">
        <w:t>Television</w:t>
      </w:r>
    </w:p>
    <w:p w:rsidR="002933A3" w:rsidRPr="002933A3" w:rsidRDefault="002B75C1" w:rsidP="002B75C1">
      <w:pPr>
        <w:pStyle w:val="Enumlevel1"/>
      </w:pPr>
      <w:r>
        <w:t>–</w:t>
      </w:r>
      <w:r>
        <w:tab/>
      </w:r>
      <w:r w:rsidR="002933A3" w:rsidRPr="002933A3">
        <w:t>Satellite:</w:t>
      </w:r>
    </w:p>
    <w:p w:rsidR="002933A3" w:rsidRPr="002933A3" w:rsidRDefault="002B75C1" w:rsidP="002B75C1">
      <w:pPr>
        <w:pStyle w:val="Enumlevel1"/>
      </w:pPr>
      <w:r>
        <w:t>–</w:t>
      </w:r>
      <w:r>
        <w:tab/>
      </w:r>
      <w:r w:rsidR="002933A3" w:rsidRPr="002933A3">
        <w:t>V-SAT Terminal</w:t>
      </w:r>
    </w:p>
    <w:p w:rsidR="002933A3" w:rsidRPr="002933A3" w:rsidRDefault="002B75C1" w:rsidP="002B75C1">
      <w:pPr>
        <w:pStyle w:val="Enumlevel1"/>
      </w:pPr>
      <w:r>
        <w:t>–</w:t>
      </w:r>
      <w:r>
        <w:tab/>
      </w:r>
      <w:r w:rsidR="002933A3" w:rsidRPr="002933A3">
        <w:t>Internet service provider</w:t>
      </w:r>
    </w:p>
    <w:p w:rsidR="002933A3" w:rsidRPr="002933A3" w:rsidRDefault="002B75C1" w:rsidP="002B75C1">
      <w:pPr>
        <w:pStyle w:val="Enumlevel1"/>
      </w:pPr>
      <w:r>
        <w:t>–</w:t>
      </w:r>
      <w:r>
        <w:tab/>
      </w:r>
      <w:r w:rsidR="002933A3" w:rsidRPr="002933A3">
        <w:t>Wireless cellular operator</w:t>
      </w:r>
    </w:p>
    <w:p w:rsidR="002933A3" w:rsidRPr="002933A3" w:rsidRDefault="002B75C1" w:rsidP="002B75C1">
      <w:pPr>
        <w:pStyle w:val="Enumlevel1"/>
      </w:pPr>
      <w:r>
        <w:t>–</w:t>
      </w:r>
      <w:r>
        <w:tab/>
      </w:r>
      <w:r w:rsidR="002933A3" w:rsidRPr="002933A3">
        <w:t>Fixed line operator</w:t>
      </w:r>
    </w:p>
    <w:p w:rsidR="002933A3" w:rsidRPr="002933A3" w:rsidRDefault="002B75C1" w:rsidP="002B75C1">
      <w:pPr>
        <w:pStyle w:val="Enumlevel1"/>
      </w:pPr>
      <w:r>
        <w:lastRenderedPageBreak/>
        <w:t>–</w:t>
      </w:r>
      <w:r>
        <w:tab/>
      </w:r>
      <w:r w:rsidR="002933A3" w:rsidRPr="002933A3">
        <w:t>VHF/UHF communication</w:t>
      </w:r>
    </w:p>
    <w:p w:rsidR="002933A3" w:rsidRPr="002933A3" w:rsidRDefault="002B75C1" w:rsidP="002B75C1">
      <w:pPr>
        <w:pStyle w:val="Enumlevel1"/>
      </w:pPr>
      <w:r>
        <w:t>–</w:t>
      </w:r>
      <w:r>
        <w:tab/>
      </w:r>
      <w:r w:rsidR="002933A3" w:rsidRPr="002933A3">
        <w:t>Fixed and land mobile services</w:t>
      </w:r>
    </w:p>
    <w:p w:rsidR="002933A3" w:rsidRPr="002933A3" w:rsidRDefault="002B75C1" w:rsidP="002B75C1">
      <w:pPr>
        <w:pStyle w:val="Enumlevel1"/>
      </w:pPr>
      <w:r>
        <w:t>–</w:t>
      </w:r>
      <w:r>
        <w:tab/>
      </w:r>
      <w:r w:rsidR="002933A3" w:rsidRPr="002933A3">
        <w:t>Maritime services</w:t>
      </w:r>
    </w:p>
    <w:p w:rsidR="002933A3" w:rsidRPr="002933A3" w:rsidRDefault="002B75C1" w:rsidP="002B75C1">
      <w:pPr>
        <w:pStyle w:val="Enumlevel1"/>
      </w:pPr>
      <w:r>
        <w:t>–</w:t>
      </w:r>
      <w:r>
        <w:tab/>
      </w:r>
      <w:r w:rsidR="002933A3" w:rsidRPr="002933A3">
        <w:t>Aeronautical services</w:t>
      </w:r>
    </w:p>
    <w:p w:rsidR="002933A3" w:rsidRPr="002933A3" w:rsidRDefault="002B75C1" w:rsidP="002B75C1">
      <w:pPr>
        <w:pStyle w:val="Enumlevel1"/>
      </w:pPr>
      <w:r>
        <w:t>–</w:t>
      </w:r>
      <w:r>
        <w:tab/>
      </w:r>
      <w:r w:rsidR="002933A3" w:rsidRPr="002933A3">
        <w:t xml:space="preserve">Equipment dealer </w:t>
      </w:r>
    </w:p>
    <w:p w:rsidR="002933A3" w:rsidRPr="002933A3" w:rsidRDefault="002B75C1" w:rsidP="002B75C1">
      <w:pPr>
        <w:pStyle w:val="Enumlevel1"/>
      </w:pPr>
      <w:r>
        <w:t>–</w:t>
      </w:r>
      <w:r>
        <w:tab/>
      </w:r>
      <w:r w:rsidR="002933A3" w:rsidRPr="002933A3">
        <w:t>International gateway</w:t>
      </w:r>
    </w:p>
    <w:p w:rsidR="002933A3" w:rsidRPr="002933A3" w:rsidRDefault="002B75C1" w:rsidP="002B75C1">
      <w:pPr>
        <w:pStyle w:val="Enumlevel1"/>
      </w:pPr>
      <w:r>
        <w:t>–</w:t>
      </w:r>
      <w:r>
        <w:tab/>
      </w:r>
      <w:r w:rsidR="002933A3" w:rsidRPr="002933A3">
        <w:t>Internet gateway</w:t>
      </w:r>
    </w:p>
    <w:p w:rsidR="002933A3" w:rsidRPr="002933A3" w:rsidRDefault="002B75C1" w:rsidP="002B75C1">
      <w:pPr>
        <w:pStyle w:val="Enumlevel1"/>
      </w:pPr>
      <w:r>
        <w:t>–</w:t>
      </w:r>
      <w:r>
        <w:tab/>
      </w:r>
      <w:r w:rsidR="002933A3" w:rsidRPr="002933A3">
        <w:t>Value added network</w:t>
      </w:r>
    </w:p>
    <w:p w:rsidR="000E5D70" w:rsidRPr="00250D23" w:rsidRDefault="000E5D70">
      <w:pPr>
        <w:spacing w:before="0"/>
        <w:jc w:val="left"/>
        <w:rPr>
          <w:szCs w:val="21"/>
          <w:lang w:val="en-US"/>
        </w:rPr>
      </w:pPr>
      <w:r w:rsidRPr="00250D23">
        <w:rPr>
          <w:szCs w:val="21"/>
          <w:lang w:val="en-US"/>
        </w:rPr>
        <w:br w:type="page"/>
      </w:r>
    </w:p>
    <w:p w:rsidR="000E5D70" w:rsidRDefault="000E5D70" w:rsidP="000E5D70">
      <w:pPr>
        <w:pStyle w:val="Heading1"/>
      </w:pPr>
      <w:bookmarkStart w:id="46" w:name="_Toc380408308"/>
      <w:r w:rsidRPr="00CC04AE">
        <w:lastRenderedPageBreak/>
        <w:t>Annex 6: Setting the price of spectrum</w:t>
      </w:r>
      <w:bookmarkEnd w:id="46"/>
    </w:p>
    <w:p w:rsidR="000E5D70" w:rsidRPr="000E5D70" w:rsidRDefault="000E5D70" w:rsidP="000E5D70">
      <w:pPr>
        <w:rPr>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3596"/>
        <w:gridCol w:w="2325"/>
      </w:tblGrid>
      <w:tr w:rsidR="000E5D70" w:rsidRPr="000E5D70" w:rsidTr="00AF4080">
        <w:trPr>
          <w:trHeight w:val="482"/>
          <w:jc w:val="center"/>
        </w:trPr>
        <w:tc>
          <w:tcPr>
            <w:tcW w:w="3434" w:type="dxa"/>
            <w:tcBorders>
              <w:top w:val="single" w:sz="4" w:space="0" w:color="auto"/>
              <w:left w:val="single" w:sz="4" w:space="0" w:color="auto"/>
              <w:bottom w:val="single" w:sz="4" w:space="0" w:color="auto"/>
              <w:right w:val="single" w:sz="4" w:space="0" w:color="auto"/>
            </w:tcBorders>
            <w:shd w:val="clear" w:color="auto" w:fill="005173"/>
            <w:hideMark/>
          </w:tcPr>
          <w:p w:rsidR="000E5D70" w:rsidRPr="000E5D70" w:rsidRDefault="000E5D70" w:rsidP="000E5D70">
            <w:pPr>
              <w:pStyle w:val="Tablehead"/>
            </w:pPr>
            <w:r w:rsidRPr="000E5D70">
              <w:t>METHODES</w:t>
            </w:r>
          </w:p>
        </w:tc>
        <w:tc>
          <w:tcPr>
            <w:tcW w:w="3762" w:type="dxa"/>
            <w:tcBorders>
              <w:top w:val="single" w:sz="4" w:space="0" w:color="auto"/>
              <w:left w:val="single" w:sz="4" w:space="0" w:color="auto"/>
              <w:bottom w:val="single" w:sz="4" w:space="0" w:color="auto"/>
              <w:right w:val="single" w:sz="4" w:space="0" w:color="auto"/>
            </w:tcBorders>
            <w:shd w:val="clear" w:color="auto" w:fill="005173"/>
            <w:hideMark/>
          </w:tcPr>
          <w:p w:rsidR="000E5D70" w:rsidRPr="000E5D70" w:rsidRDefault="000E5D70" w:rsidP="000E5D70">
            <w:pPr>
              <w:pStyle w:val="Tablehead"/>
            </w:pPr>
            <w:r w:rsidRPr="000E5D70">
              <w:t>SUBJETS</w:t>
            </w:r>
          </w:p>
        </w:tc>
        <w:tc>
          <w:tcPr>
            <w:tcW w:w="2543" w:type="dxa"/>
            <w:tcBorders>
              <w:top w:val="single" w:sz="4" w:space="0" w:color="auto"/>
              <w:left w:val="single" w:sz="4" w:space="0" w:color="auto"/>
              <w:bottom w:val="single" w:sz="4" w:space="0" w:color="auto"/>
              <w:right w:val="single" w:sz="4" w:space="0" w:color="auto"/>
            </w:tcBorders>
            <w:shd w:val="clear" w:color="auto" w:fill="005173"/>
            <w:hideMark/>
          </w:tcPr>
          <w:p w:rsidR="000E5D70" w:rsidRPr="000E5D70" w:rsidRDefault="000E5D70" w:rsidP="000E5D70">
            <w:pPr>
              <w:pStyle w:val="Tablehead"/>
            </w:pPr>
            <w:r w:rsidRPr="000E5D70">
              <w:t>Part of Report</w:t>
            </w:r>
          </w:p>
        </w:tc>
      </w:tr>
      <w:tr w:rsidR="000E5D70" w:rsidRPr="000E5D70" w:rsidTr="00AF4080">
        <w:trPr>
          <w:jc w:val="center"/>
        </w:trPr>
        <w:tc>
          <w:tcPr>
            <w:tcW w:w="3434" w:type="dxa"/>
            <w:tcBorders>
              <w:top w:val="single" w:sz="4" w:space="0" w:color="auto"/>
              <w:left w:val="single" w:sz="4" w:space="0" w:color="auto"/>
              <w:bottom w:val="single" w:sz="4" w:space="0" w:color="auto"/>
              <w:right w:val="single" w:sz="4" w:space="0" w:color="auto"/>
            </w:tcBorders>
            <w:shd w:val="clear" w:color="auto" w:fill="E8F8FD"/>
            <w:hideMark/>
          </w:tcPr>
          <w:p w:rsidR="000E5D70" w:rsidRPr="00AC1B05" w:rsidRDefault="000E5D70" w:rsidP="000E5D70">
            <w:pPr>
              <w:pStyle w:val="Tabletext"/>
              <w:rPr>
                <w:rFonts w:asciiTheme="minorHAnsi" w:hAnsiTheme="minorHAnsi"/>
                <w:b/>
                <w:bCs/>
              </w:rPr>
            </w:pPr>
            <w:r w:rsidRPr="00AC1B05">
              <w:rPr>
                <w:rFonts w:asciiTheme="minorHAnsi" w:hAnsiTheme="minorHAnsi"/>
                <w:b/>
                <w:bCs/>
              </w:rPr>
              <w:t>Simple fees</w:t>
            </w:r>
          </w:p>
        </w:tc>
        <w:tc>
          <w:tcPr>
            <w:tcW w:w="3762" w:type="dxa"/>
            <w:tcBorders>
              <w:top w:val="single" w:sz="4" w:space="0" w:color="auto"/>
              <w:left w:val="single" w:sz="4" w:space="0" w:color="auto"/>
              <w:bottom w:val="single" w:sz="4" w:space="0" w:color="auto"/>
              <w:right w:val="single" w:sz="4" w:space="0" w:color="auto"/>
            </w:tcBorders>
            <w:shd w:val="clear" w:color="auto" w:fill="E8F8FD"/>
            <w:hideMark/>
          </w:tcPr>
          <w:p w:rsidR="000E5D70" w:rsidRPr="00250D23" w:rsidRDefault="000E5D70" w:rsidP="000E5D70">
            <w:pPr>
              <w:pStyle w:val="Tabletext"/>
              <w:rPr>
                <w:rFonts w:asciiTheme="minorHAnsi" w:hAnsiTheme="minorHAnsi"/>
                <w:lang w:val="en-US"/>
              </w:rPr>
            </w:pPr>
            <w:r w:rsidRPr="00250D23">
              <w:rPr>
                <w:rFonts w:asciiTheme="minorHAnsi" w:hAnsiTheme="minorHAnsi"/>
                <w:lang w:val="en-US"/>
              </w:rPr>
              <w:t xml:space="preserve">Simple fee to have the right to use the spectrum </w:t>
            </w:r>
          </w:p>
        </w:tc>
        <w:tc>
          <w:tcPr>
            <w:tcW w:w="2543" w:type="dxa"/>
            <w:tcBorders>
              <w:top w:val="single" w:sz="4" w:space="0" w:color="auto"/>
              <w:left w:val="single" w:sz="4" w:space="0" w:color="auto"/>
              <w:bottom w:val="single" w:sz="4" w:space="0" w:color="auto"/>
              <w:right w:val="single" w:sz="4" w:space="0" w:color="auto"/>
            </w:tcBorders>
            <w:shd w:val="clear" w:color="auto" w:fill="E8F8FD"/>
            <w:hideMark/>
          </w:tcPr>
          <w:p w:rsidR="000E5D70" w:rsidRPr="000E5D70" w:rsidRDefault="000E5D70" w:rsidP="000E5D70">
            <w:pPr>
              <w:pStyle w:val="Tabletext"/>
              <w:rPr>
                <w:rFonts w:asciiTheme="minorHAnsi" w:hAnsiTheme="minorHAnsi"/>
              </w:rPr>
            </w:pPr>
            <w:r w:rsidRPr="000E5D70">
              <w:rPr>
                <w:rFonts w:asciiTheme="minorHAnsi" w:hAnsiTheme="minorHAnsi"/>
              </w:rPr>
              <w:t>IV</w:t>
            </w:r>
          </w:p>
        </w:tc>
      </w:tr>
      <w:tr w:rsidR="000E5D70" w:rsidRPr="000E5D70" w:rsidTr="00AF4080">
        <w:trPr>
          <w:jc w:val="center"/>
        </w:trPr>
        <w:tc>
          <w:tcPr>
            <w:tcW w:w="3434" w:type="dxa"/>
            <w:tcBorders>
              <w:top w:val="single" w:sz="4" w:space="0" w:color="auto"/>
              <w:left w:val="single" w:sz="4" w:space="0" w:color="auto"/>
              <w:bottom w:val="single" w:sz="4" w:space="0" w:color="auto"/>
              <w:right w:val="single" w:sz="4" w:space="0" w:color="auto"/>
            </w:tcBorders>
            <w:hideMark/>
          </w:tcPr>
          <w:p w:rsidR="000E5D70" w:rsidRPr="00AC1B05" w:rsidRDefault="000E5D70" w:rsidP="000E5D70">
            <w:pPr>
              <w:pStyle w:val="Tabletext"/>
              <w:rPr>
                <w:rFonts w:asciiTheme="minorHAnsi" w:hAnsiTheme="minorHAnsi"/>
                <w:b/>
                <w:bCs/>
              </w:rPr>
            </w:pPr>
            <w:r w:rsidRPr="00AC1B05">
              <w:rPr>
                <w:rFonts w:asciiTheme="minorHAnsi" w:hAnsiTheme="minorHAnsi"/>
                <w:b/>
                <w:bCs/>
              </w:rPr>
              <w:t>Fees based on costs</w:t>
            </w:r>
          </w:p>
        </w:tc>
        <w:tc>
          <w:tcPr>
            <w:tcW w:w="3762" w:type="dxa"/>
            <w:tcBorders>
              <w:top w:val="single" w:sz="4" w:space="0" w:color="auto"/>
              <w:left w:val="single" w:sz="4" w:space="0" w:color="auto"/>
              <w:bottom w:val="single" w:sz="4" w:space="0" w:color="auto"/>
              <w:right w:val="single" w:sz="4" w:space="0" w:color="auto"/>
            </w:tcBorders>
            <w:hideMark/>
          </w:tcPr>
          <w:p w:rsidR="000E5D70" w:rsidRPr="00250D23" w:rsidRDefault="000E5D70" w:rsidP="000E5D70">
            <w:pPr>
              <w:pStyle w:val="Tabletext"/>
              <w:rPr>
                <w:rFonts w:asciiTheme="minorHAnsi" w:hAnsiTheme="minorHAnsi"/>
                <w:lang w:val="en-US"/>
              </w:rPr>
            </w:pPr>
            <w:r w:rsidRPr="00250D23">
              <w:rPr>
                <w:rFonts w:asciiTheme="minorHAnsi" w:hAnsiTheme="minorHAnsi"/>
                <w:lang w:val="en-US"/>
              </w:rPr>
              <w:t>Based on all the kinds of cost systems</w:t>
            </w:r>
          </w:p>
        </w:tc>
        <w:tc>
          <w:tcPr>
            <w:tcW w:w="2543" w:type="dxa"/>
            <w:tcBorders>
              <w:top w:val="single" w:sz="4" w:space="0" w:color="auto"/>
              <w:left w:val="single" w:sz="4" w:space="0" w:color="auto"/>
              <w:bottom w:val="single" w:sz="4" w:space="0" w:color="auto"/>
              <w:right w:val="single" w:sz="4" w:space="0" w:color="auto"/>
            </w:tcBorders>
            <w:hideMark/>
          </w:tcPr>
          <w:p w:rsidR="000E5D70" w:rsidRPr="000E5D70" w:rsidRDefault="000E5D70" w:rsidP="000E5D70">
            <w:pPr>
              <w:pStyle w:val="Tabletext"/>
              <w:rPr>
                <w:rFonts w:asciiTheme="minorHAnsi" w:hAnsiTheme="minorHAnsi"/>
              </w:rPr>
            </w:pPr>
            <w:r w:rsidRPr="000E5D70">
              <w:rPr>
                <w:rFonts w:asciiTheme="minorHAnsi" w:hAnsiTheme="minorHAnsi"/>
              </w:rPr>
              <w:t>IV</w:t>
            </w:r>
          </w:p>
        </w:tc>
      </w:tr>
      <w:tr w:rsidR="000E5D70" w:rsidRPr="000E5D70" w:rsidTr="00AF4080">
        <w:trPr>
          <w:trHeight w:val="2490"/>
          <w:jc w:val="center"/>
        </w:trPr>
        <w:tc>
          <w:tcPr>
            <w:tcW w:w="3434" w:type="dxa"/>
            <w:tcBorders>
              <w:top w:val="single" w:sz="4" w:space="0" w:color="auto"/>
              <w:left w:val="single" w:sz="4" w:space="0" w:color="auto"/>
              <w:bottom w:val="single" w:sz="4" w:space="0" w:color="auto"/>
              <w:right w:val="single" w:sz="4" w:space="0" w:color="auto"/>
            </w:tcBorders>
            <w:shd w:val="clear" w:color="auto" w:fill="E8F8FD"/>
            <w:hideMark/>
          </w:tcPr>
          <w:p w:rsidR="000E5D70" w:rsidRPr="00AC1B05" w:rsidRDefault="000E5D70" w:rsidP="000E5D70">
            <w:pPr>
              <w:pStyle w:val="Tabletext"/>
              <w:rPr>
                <w:rFonts w:asciiTheme="minorHAnsi" w:hAnsiTheme="minorHAnsi"/>
                <w:b/>
                <w:bCs/>
                <w:lang w:val="en-US"/>
              </w:rPr>
            </w:pPr>
            <w:r w:rsidRPr="00AC1B05">
              <w:rPr>
                <w:rFonts w:asciiTheme="minorHAnsi" w:hAnsiTheme="minorHAnsi"/>
                <w:b/>
                <w:bCs/>
                <w:lang w:val="en-US"/>
              </w:rPr>
              <w:t>Incitative prices of spectrum</w:t>
            </w:r>
          </w:p>
          <w:p w:rsidR="000E5D70" w:rsidRPr="00FB4BB4" w:rsidRDefault="000E5D70" w:rsidP="000E5D70">
            <w:pPr>
              <w:pStyle w:val="Tabletext"/>
              <w:rPr>
                <w:rFonts w:asciiTheme="minorHAnsi" w:hAnsiTheme="minorHAnsi"/>
                <w:lang w:val="en-US"/>
              </w:rPr>
            </w:pPr>
            <w:r w:rsidRPr="00FB4BB4">
              <w:rPr>
                <w:rFonts w:asciiTheme="minorHAnsi" w:hAnsiTheme="minorHAnsi"/>
                <w:lang w:val="en-US"/>
              </w:rPr>
              <w:t>(Spectrum « Value »)</w:t>
            </w:r>
          </w:p>
        </w:tc>
        <w:tc>
          <w:tcPr>
            <w:tcW w:w="3762" w:type="dxa"/>
            <w:tcBorders>
              <w:top w:val="single" w:sz="4" w:space="0" w:color="auto"/>
              <w:left w:val="single" w:sz="4" w:space="0" w:color="auto"/>
              <w:bottom w:val="single" w:sz="4" w:space="0" w:color="auto"/>
              <w:right w:val="single" w:sz="4" w:space="0" w:color="auto"/>
            </w:tcBorders>
            <w:shd w:val="clear" w:color="auto" w:fill="E8F8FD"/>
            <w:hideMark/>
          </w:tcPr>
          <w:p w:rsidR="000E5D70" w:rsidRPr="00250D23" w:rsidRDefault="000E5D70" w:rsidP="000E5D70">
            <w:pPr>
              <w:pStyle w:val="Tabletext"/>
              <w:tabs>
                <w:tab w:val="left" w:pos="350"/>
              </w:tabs>
              <w:rPr>
                <w:rFonts w:asciiTheme="minorHAnsi" w:hAnsiTheme="minorHAnsi"/>
                <w:lang w:val="en-US"/>
              </w:rPr>
            </w:pPr>
            <w:r w:rsidRPr="00250D23">
              <w:rPr>
                <w:rFonts w:asciiTheme="minorHAnsi" w:hAnsiTheme="minorHAnsi"/>
                <w:lang w:val="en-US"/>
              </w:rPr>
              <w:t>–</w:t>
            </w:r>
            <w:r w:rsidRPr="00250D23">
              <w:rPr>
                <w:rFonts w:asciiTheme="minorHAnsi" w:hAnsiTheme="minorHAnsi"/>
                <w:lang w:val="en-US"/>
              </w:rPr>
              <w:tab/>
              <w:t xml:space="preserve">“Economical Variables” to calculate the </w:t>
            </w:r>
            <w:r w:rsidR="00AF4080" w:rsidRPr="00250D23">
              <w:rPr>
                <w:rFonts w:asciiTheme="minorHAnsi" w:hAnsiTheme="minorHAnsi"/>
                <w:lang w:val="en-US"/>
              </w:rPr>
              <w:tab/>
            </w:r>
            <w:r w:rsidRPr="00250D23">
              <w:rPr>
                <w:rFonts w:asciiTheme="minorHAnsi" w:hAnsiTheme="minorHAnsi"/>
                <w:lang w:val="en-US"/>
              </w:rPr>
              <w:t xml:space="preserve">fees (Formulae) </w:t>
            </w:r>
          </w:p>
          <w:p w:rsidR="000E5D70" w:rsidRPr="00250D23" w:rsidRDefault="000E5D70" w:rsidP="000E5D70">
            <w:pPr>
              <w:pStyle w:val="Tabletext"/>
              <w:tabs>
                <w:tab w:val="left" w:pos="350"/>
              </w:tabs>
              <w:rPr>
                <w:rFonts w:asciiTheme="minorHAnsi" w:hAnsiTheme="minorHAnsi"/>
                <w:lang w:val="en-US"/>
              </w:rPr>
            </w:pPr>
            <w:r w:rsidRPr="000E5D70">
              <w:rPr>
                <w:rFonts w:asciiTheme="minorHAnsi" w:hAnsiTheme="minorHAnsi"/>
                <w:lang w:val="en-GB"/>
              </w:rPr>
              <w:tab/>
              <w:t>–</w:t>
            </w:r>
            <w:r w:rsidRPr="000E5D70">
              <w:rPr>
                <w:rFonts w:asciiTheme="minorHAnsi" w:hAnsiTheme="minorHAnsi"/>
                <w:lang w:val="en-GB"/>
              </w:rPr>
              <w:tab/>
              <w:t>Bandwidth</w:t>
            </w:r>
          </w:p>
          <w:p w:rsidR="000E5D70" w:rsidRPr="00250D23" w:rsidRDefault="000E5D70" w:rsidP="000E5D70">
            <w:pPr>
              <w:pStyle w:val="Tabletext"/>
              <w:tabs>
                <w:tab w:val="left" w:pos="350"/>
              </w:tabs>
              <w:rPr>
                <w:rFonts w:asciiTheme="minorHAnsi" w:hAnsiTheme="minorHAnsi"/>
                <w:lang w:val="en-US"/>
              </w:rPr>
            </w:pPr>
            <w:r w:rsidRPr="000E5D70">
              <w:rPr>
                <w:rFonts w:asciiTheme="minorHAnsi" w:hAnsiTheme="minorHAnsi"/>
                <w:lang w:val="en-GB"/>
              </w:rPr>
              <w:tab/>
              <w:t>–</w:t>
            </w:r>
            <w:r w:rsidRPr="000E5D70">
              <w:rPr>
                <w:rFonts w:asciiTheme="minorHAnsi" w:hAnsiTheme="minorHAnsi"/>
                <w:lang w:val="en-GB"/>
              </w:rPr>
              <w:tab/>
              <w:t>exclusivity</w:t>
            </w:r>
          </w:p>
          <w:p w:rsidR="000E5D70" w:rsidRPr="00250D23" w:rsidRDefault="000E5D70" w:rsidP="000E5D70">
            <w:pPr>
              <w:pStyle w:val="Tabletext"/>
              <w:tabs>
                <w:tab w:val="left" w:pos="350"/>
              </w:tabs>
              <w:rPr>
                <w:rFonts w:asciiTheme="minorHAnsi" w:hAnsiTheme="minorHAnsi"/>
                <w:lang w:val="en-US"/>
              </w:rPr>
            </w:pPr>
            <w:r w:rsidRPr="000E5D70">
              <w:rPr>
                <w:rFonts w:asciiTheme="minorHAnsi" w:hAnsiTheme="minorHAnsi"/>
                <w:lang w:val="en-GB"/>
              </w:rPr>
              <w:tab/>
              <w:t>–</w:t>
            </w:r>
            <w:r w:rsidRPr="000E5D70">
              <w:rPr>
                <w:rFonts w:asciiTheme="minorHAnsi" w:hAnsiTheme="minorHAnsi"/>
                <w:lang w:val="en-GB"/>
              </w:rPr>
              <w:tab/>
              <w:t>geographic</w:t>
            </w:r>
            <w:r w:rsidRPr="00250D23">
              <w:rPr>
                <w:rFonts w:asciiTheme="minorHAnsi" w:hAnsiTheme="minorHAnsi"/>
                <w:lang w:val="en-US"/>
              </w:rPr>
              <w:t xml:space="preserve"> location</w:t>
            </w:r>
          </w:p>
          <w:p w:rsidR="000E5D70" w:rsidRPr="00250D23" w:rsidRDefault="000E5D70" w:rsidP="000E5D70">
            <w:pPr>
              <w:pStyle w:val="Tabletext"/>
              <w:tabs>
                <w:tab w:val="left" w:pos="350"/>
              </w:tabs>
              <w:rPr>
                <w:rFonts w:asciiTheme="minorHAnsi" w:hAnsiTheme="minorHAnsi"/>
                <w:lang w:val="en-US"/>
              </w:rPr>
            </w:pPr>
            <w:r w:rsidRPr="000E5D70">
              <w:rPr>
                <w:rFonts w:asciiTheme="minorHAnsi" w:hAnsiTheme="minorHAnsi"/>
                <w:lang w:val="en-GB"/>
              </w:rPr>
              <w:tab/>
              <w:t>–</w:t>
            </w:r>
            <w:r w:rsidRPr="000E5D70">
              <w:rPr>
                <w:rFonts w:asciiTheme="minorHAnsi" w:hAnsiTheme="minorHAnsi"/>
                <w:lang w:val="en-GB"/>
              </w:rPr>
              <w:tab/>
              <w:t>coverage</w:t>
            </w:r>
          </w:p>
          <w:p w:rsidR="000E5D70" w:rsidRPr="00250D23" w:rsidRDefault="000E5D70" w:rsidP="000E5D70">
            <w:pPr>
              <w:pStyle w:val="Tabletext"/>
              <w:tabs>
                <w:tab w:val="left" w:pos="350"/>
              </w:tabs>
              <w:rPr>
                <w:rFonts w:asciiTheme="minorHAnsi" w:hAnsiTheme="minorHAnsi"/>
                <w:lang w:val="en-US"/>
              </w:rPr>
            </w:pPr>
            <w:r w:rsidRPr="000E5D70">
              <w:rPr>
                <w:rFonts w:asciiTheme="minorHAnsi" w:hAnsiTheme="minorHAnsi"/>
                <w:lang w:val="en-GB"/>
              </w:rPr>
              <w:tab/>
              <w:t>–</w:t>
            </w:r>
            <w:r w:rsidRPr="000E5D70">
              <w:rPr>
                <w:rFonts w:asciiTheme="minorHAnsi" w:hAnsiTheme="minorHAnsi"/>
                <w:lang w:val="en-GB"/>
              </w:rPr>
              <w:tab/>
            </w:r>
            <w:r w:rsidRPr="00250D23">
              <w:rPr>
                <w:rFonts w:asciiTheme="minorHAnsi" w:hAnsiTheme="minorHAnsi"/>
                <w:lang w:val="en-US"/>
              </w:rPr>
              <w:t>etc.</w:t>
            </w:r>
          </w:p>
          <w:p w:rsidR="000E5D70" w:rsidRPr="00250D23" w:rsidRDefault="000E5D70" w:rsidP="000E5D70">
            <w:pPr>
              <w:pStyle w:val="Tabletext"/>
              <w:tabs>
                <w:tab w:val="left" w:pos="350"/>
              </w:tabs>
              <w:rPr>
                <w:rFonts w:asciiTheme="minorHAnsi" w:hAnsiTheme="minorHAnsi"/>
                <w:lang w:val="en-US"/>
              </w:rPr>
            </w:pPr>
            <w:r w:rsidRPr="00250D23">
              <w:rPr>
                <w:rFonts w:asciiTheme="minorHAnsi" w:hAnsiTheme="minorHAnsi"/>
                <w:lang w:val="en-US"/>
              </w:rPr>
              <w:t>–</w:t>
            </w:r>
            <w:r w:rsidRPr="00250D23">
              <w:rPr>
                <w:rFonts w:asciiTheme="minorHAnsi" w:hAnsiTheme="minorHAnsi"/>
                <w:lang w:val="en-US"/>
              </w:rPr>
              <w:tab/>
              <w:t xml:space="preserve">Fees based on brut income </w:t>
            </w:r>
          </w:p>
          <w:p w:rsidR="000E5D70" w:rsidRPr="000E5D70" w:rsidRDefault="000E5D70" w:rsidP="000E5D70">
            <w:pPr>
              <w:pStyle w:val="Tabletext"/>
              <w:tabs>
                <w:tab w:val="left" w:pos="350"/>
              </w:tabs>
              <w:rPr>
                <w:rFonts w:asciiTheme="minorHAnsi" w:hAnsiTheme="minorHAnsi"/>
              </w:rPr>
            </w:pPr>
            <w:r w:rsidRPr="000E5D70">
              <w:rPr>
                <w:rFonts w:asciiTheme="minorHAnsi" w:hAnsiTheme="minorHAnsi"/>
              </w:rPr>
              <w:t>–</w:t>
            </w:r>
            <w:r w:rsidRPr="000E5D70">
              <w:rPr>
                <w:rFonts w:asciiTheme="minorHAnsi" w:hAnsiTheme="minorHAnsi"/>
              </w:rPr>
              <w:tab/>
              <w:t xml:space="preserve">Fees on cost opportunity </w:t>
            </w:r>
          </w:p>
        </w:tc>
        <w:tc>
          <w:tcPr>
            <w:tcW w:w="2543" w:type="dxa"/>
            <w:tcBorders>
              <w:top w:val="single" w:sz="4" w:space="0" w:color="auto"/>
              <w:left w:val="single" w:sz="4" w:space="0" w:color="auto"/>
              <w:bottom w:val="single" w:sz="4" w:space="0" w:color="auto"/>
              <w:right w:val="single" w:sz="4" w:space="0" w:color="auto"/>
            </w:tcBorders>
            <w:shd w:val="clear" w:color="auto" w:fill="E8F8FD"/>
          </w:tcPr>
          <w:p w:rsidR="000E5D70" w:rsidRPr="000E5D70" w:rsidRDefault="000E5D70" w:rsidP="000E5D70">
            <w:pPr>
              <w:pStyle w:val="Tabletext"/>
              <w:rPr>
                <w:rFonts w:asciiTheme="minorHAnsi" w:hAnsiTheme="minorHAnsi"/>
              </w:rPr>
            </w:pPr>
            <w:r w:rsidRPr="000E5D70">
              <w:rPr>
                <w:rFonts w:asciiTheme="minorHAnsi" w:hAnsiTheme="minorHAnsi"/>
              </w:rPr>
              <w:t>IV</w:t>
            </w:r>
          </w:p>
          <w:p w:rsidR="000E5D70" w:rsidRPr="000E5D70" w:rsidRDefault="000E5D70" w:rsidP="000E5D70">
            <w:pPr>
              <w:pStyle w:val="Tabletext"/>
              <w:rPr>
                <w:rFonts w:asciiTheme="minorHAnsi" w:hAnsiTheme="minorHAnsi"/>
                <w:bCs/>
              </w:rPr>
            </w:pPr>
          </w:p>
          <w:p w:rsidR="000E5D70" w:rsidRPr="000E5D70" w:rsidRDefault="000E5D70" w:rsidP="000E5D70">
            <w:pPr>
              <w:pStyle w:val="Tabletext"/>
              <w:rPr>
                <w:rFonts w:asciiTheme="minorHAnsi" w:hAnsiTheme="minorHAnsi"/>
                <w:bCs/>
              </w:rPr>
            </w:pPr>
          </w:p>
          <w:p w:rsidR="000E5D70" w:rsidRPr="000E5D70" w:rsidRDefault="000E5D70" w:rsidP="000E5D70">
            <w:pPr>
              <w:pStyle w:val="Tabletext"/>
              <w:rPr>
                <w:rFonts w:asciiTheme="minorHAnsi" w:hAnsiTheme="minorHAnsi"/>
                <w:bCs/>
              </w:rPr>
            </w:pPr>
          </w:p>
          <w:p w:rsidR="000E5D70" w:rsidRPr="000E5D70" w:rsidRDefault="000E5D70" w:rsidP="000E5D70">
            <w:pPr>
              <w:pStyle w:val="Tabletext"/>
              <w:rPr>
                <w:rFonts w:asciiTheme="minorHAnsi" w:hAnsiTheme="minorHAnsi"/>
                <w:bCs/>
              </w:rPr>
            </w:pPr>
          </w:p>
          <w:p w:rsidR="000E5D70" w:rsidRPr="000E5D70" w:rsidRDefault="000E5D70" w:rsidP="000E5D70">
            <w:pPr>
              <w:pStyle w:val="Tabletext"/>
              <w:rPr>
                <w:rFonts w:asciiTheme="minorHAnsi" w:hAnsiTheme="minorHAnsi"/>
                <w:bCs/>
              </w:rPr>
            </w:pPr>
          </w:p>
          <w:p w:rsidR="000E5D70" w:rsidRPr="000E5D70" w:rsidRDefault="000E5D70" w:rsidP="000E5D70">
            <w:pPr>
              <w:pStyle w:val="Tabletext"/>
              <w:rPr>
                <w:rFonts w:asciiTheme="minorHAnsi" w:hAnsiTheme="minorHAnsi"/>
                <w:bCs/>
              </w:rPr>
            </w:pPr>
          </w:p>
          <w:p w:rsidR="000E5D70" w:rsidRPr="000E5D70" w:rsidRDefault="000E5D70" w:rsidP="000E5D70">
            <w:pPr>
              <w:pStyle w:val="Tabletext"/>
              <w:rPr>
                <w:rFonts w:asciiTheme="minorHAnsi" w:hAnsiTheme="minorHAnsi"/>
                <w:bCs/>
              </w:rPr>
            </w:pPr>
            <w:r w:rsidRPr="000E5D70">
              <w:rPr>
                <w:rFonts w:asciiTheme="minorHAnsi" w:hAnsiTheme="minorHAnsi"/>
              </w:rPr>
              <w:t>IV &amp; 3.1</w:t>
            </w:r>
          </w:p>
          <w:p w:rsidR="000E5D70" w:rsidRPr="000E5D70" w:rsidRDefault="000E5D70" w:rsidP="000E5D70">
            <w:pPr>
              <w:pStyle w:val="Tabletext"/>
              <w:rPr>
                <w:rFonts w:asciiTheme="minorHAnsi" w:hAnsiTheme="minorHAnsi"/>
                <w:bCs/>
              </w:rPr>
            </w:pPr>
            <w:r w:rsidRPr="000E5D70">
              <w:rPr>
                <w:rFonts w:asciiTheme="minorHAnsi" w:hAnsiTheme="minorHAnsi"/>
              </w:rPr>
              <w:t>IV &amp; 3.A</w:t>
            </w:r>
          </w:p>
        </w:tc>
      </w:tr>
      <w:tr w:rsidR="000E5D70" w:rsidRPr="000E5D70" w:rsidTr="00AF4080">
        <w:trPr>
          <w:jc w:val="center"/>
        </w:trPr>
        <w:tc>
          <w:tcPr>
            <w:tcW w:w="3434" w:type="dxa"/>
            <w:tcBorders>
              <w:top w:val="single" w:sz="4" w:space="0" w:color="auto"/>
              <w:left w:val="single" w:sz="4" w:space="0" w:color="auto"/>
              <w:bottom w:val="single" w:sz="4" w:space="0" w:color="auto"/>
              <w:right w:val="single" w:sz="4" w:space="0" w:color="auto"/>
            </w:tcBorders>
            <w:hideMark/>
          </w:tcPr>
          <w:p w:rsidR="000E5D70" w:rsidRPr="00AC1B05" w:rsidRDefault="000E5D70" w:rsidP="000E5D70">
            <w:pPr>
              <w:pStyle w:val="Tabletext"/>
              <w:rPr>
                <w:rFonts w:asciiTheme="minorHAnsi" w:hAnsiTheme="minorHAnsi"/>
                <w:b/>
                <w:bCs/>
              </w:rPr>
            </w:pPr>
            <w:r w:rsidRPr="00AC1B05">
              <w:rPr>
                <w:rFonts w:asciiTheme="minorHAnsi" w:hAnsiTheme="minorHAnsi"/>
                <w:b/>
                <w:bCs/>
              </w:rPr>
              <w:t>Auctions</w:t>
            </w:r>
          </w:p>
        </w:tc>
        <w:tc>
          <w:tcPr>
            <w:tcW w:w="3762" w:type="dxa"/>
            <w:tcBorders>
              <w:top w:val="single" w:sz="4" w:space="0" w:color="auto"/>
              <w:left w:val="single" w:sz="4" w:space="0" w:color="auto"/>
              <w:bottom w:val="single" w:sz="4" w:space="0" w:color="auto"/>
              <w:right w:val="single" w:sz="4" w:space="0" w:color="auto"/>
            </w:tcBorders>
          </w:tcPr>
          <w:p w:rsidR="000E5D70" w:rsidRPr="00250D23" w:rsidRDefault="000E5D70" w:rsidP="000E5D70">
            <w:pPr>
              <w:pStyle w:val="Tabletext"/>
              <w:tabs>
                <w:tab w:val="left" w:pos="350"/>
              </w:tabs>
              <w:rPr>
                <w:rFonts w:asciiTheme="minorHAnsi" w:hAnsiTheme="minorHAnsi"/>
                <w:iCs/>
                <w:lang w:val="en-US"/>
              </w:rPr>
            </w:pPr>
            <w:r w:rsidRPr="00250D23">
              <w:rPr>
                <w:rFonts w:asciiTheme="minorHAnsi" w:hAnsiTheme="minorHAnsi"/>
                <w:lang w:val="en-US"/>
              </w:rPr>
              <w:t>–</w:t>
            </w:r>
            <w:r w:rsidRPr="00250D23">
              <w:rPr>
                <w:rFonts w:asciiTheme="minorHAnsi" w:hAnsiTheme="minorHAnsi"/>
                <w:lang w:val="en-US"/>
              </w:rPr>
              <w:tab/>
              <w:t>Sealed bid (first price) auction</w:t>
            </w:r>
            <w:r w:rsidRPr="00250D23">
              <w:rPr>
                <w:rFonts w:asciiTheme="minorHAnsi" w:hAnsiTheme="minorHAnsi"/>
                <w:iCs/>
                <w:lang w:val="en-US"/>
              </w:rPr>
              <w:t xml:space="preserve"> </w:t>
            </w:r>
          </w:p>
          <w:p w:rsidR="000E5D70" w:rsidRPr="00250D23" w:rsidRDefault="000E5D70" w:rsidP="000E5D70">
            <w:pPr>
              <w:pStyle w:val="Tabletext"/>
              <w:tabs>
                <w:tab w:val="left" w:pos="350"/>
              </w:tabs>
              <w:rPr>
                <w:rFonts w:asciiTheme="minorHAnsi" w:hAnsiTheme="minorHAnsi"/>
                <w:iCs/>
                <w:lang w:val="en-US"/>
              </w:rPr>
            </w:pPr>
            <w:r w:rsidRPr="00250D23">
              <w:rPr>
                <w:rFonts w:asciiTheme="minorHAnsi" w:hAnsiTheme="minorHAnsi"/>
                <w:lang w:val="en-US"/>
              </w:rPr>
              <w:t>–</w:t>
            </w:r>
            <w:r w:rsidRPr="00250D23">
              <w:rPr>
                <w:rFonts w:asciiTheme="minorHAnsi" w:hAnsiTheme="minorHAnsi"/>
                <w:lang w:val="en-US"/>
              </w:rPr>
              <w:tab/>
              <w:t xml:space="preserve">Single round sealed (second price) </w:t>
            </w:r>
            <w:r w:rsidRPr="00250D23">
              <w:rPr>
                <w:rFonts w:asciiTheme="minorHAnsi" w:hAnsiTheme="minorHAnsi"/>
                <w:lang w:val="en-US"/>
              </w:rPr>
              <w:tab/>
              <w:t>auction</w:t>
            </w:r>
            <w:r w:rsidRPr="00250D23">
              <w:rPr>
                <w:rFonts w:asciiTheme="minorHAnsi" w:hAnsiTheme="minorHAnsi"/>
                <w:iCs/>
                <w:lang w:val="en-US"/>
              </w:rPr>
              <w:t xml:space="preserve"> </w:t>
            </w:r>
          </w:p>
          <w:p w:rsidR="000E5D70" w:rsidRPr="00250D23" w:rsidRDefault="000E5D70" w:rsidP="000E5D70">
            <w:pPr>
              <w:pStyle w:val="Tabletext"/>
              <w:tabs>
                <w:tab w:val="left" w:pos="350"/>
              </w:tabs>
              <w:rPr>
                <w:rFonts w:asciiTheme="minorHAnsi" w:hAnsiTheme="minorHAnsi"/>
                <w:lang w:val="en-US"/>
              </w:rPr>
            </w:pPr>
            <w:r w:rsidRPr="00250D23">
              <w:rPr>
                <w:rFonts w:asciiTheme="minorHAnsi" w:hAnsiTheme="minorHAnsi"/>
                <w:lang w:val="en-US"/>
              </w:rPr>
              <w:t>–</w:t>
            </w:r>
            <w:r w:rsidRPr="00250D23">
              <w:rPr>
                <w:rFonts w:asciiTheme="minorHAnsi" w:hAnsiTheme="minorHAnsi"/>
                <w:lang w:val="en-US"/>
              </w:rPr>
              <w:tab/>
              <w:t>English or ascending auction</w:t>
            </w:r>
          </w:p>
          <w:p w:rsidR="000E5D70" w:rsidRPr="00250D23" w:rsidRDefault="000E5D70" w:rsidP="000E5D70">
            <w:pPr>
              <w:pStyle w:val="Tabletext"/>
              <w:tabs>
                <w:tab w:val="left" w:pos="350"/>
              </w:tabs>
              <w:rPr>
                <w:rFonts w:asciiTheme="minorHAnsi" w:hAnsiTheme="minorHAnsi"/>
                <w:iCs/>
                <w:lang w:val="en-US"/>
              </w:rPr>
            </w:pPr>
            <w:r w:rsidRPr="00250D23">
              <w:rPr>
                <w:rFonts w:asciiTheme="minorHAnsi" w:hAnsiTheme="minorHAnsi"/>
                <w:lang w:val="en-US"/>
              </w:rPr>
              <w:t>–</w:t>
            </w:r>
            <w:r w:rsidRPr="00250D23">
              <w:rPr>
                <w:rFonts w:asciiTheme="minorHAnsi" w:hAnsiTheme="minorHAnsi"/>
                <w:lang w:val="en-US"/>
              </w:rPr>
              <w:tab/>
              <w:t>Dutch (descending) auction</w:t>
            </w:r>
            <w:r w:rsidRPr="00250D23">
              <w:rPr>
                <w:rFonts w:asciiTheme="minorHAnsi" w:hAnsiTheme="minorHAnsi"/>
                <w:iCs/>
                <w:lang w:val="en-US"/>
              </w:rPr>
              <w:t xml:space="preserve"> </w:t>
            </w:r>
          </w:p>
          <w:p w:rsidR="000E5D70" w:rsidRPr="00250D23" w:rsidRDefault="000E5D70" w:rsidP="000E5D70">
            <w:pPr>
              <w:pStyle w:val="Tabletext"/>
              <w:tabs>
                <w:tab w:val="left" w:pos="350"/>
              </w:tabs>
              <w:rPr>
                <w:rFonts w:asciiTheme="minorHAnsi" w:hAnsiTheme="minorHAnsi"/>
                <w:iCs/>
                <w:lang w:val="en-US"/>
              </w:rPr>
            </w:pPr>
            <w:r w:rsidRPr="00250D23">
              <w:rPr>
                <w:rFonts w:asciiTheme="minorHAnsi" w:hAnsiTheme="minorHAnsi"/>
                <w:lang w:val="en-US"/>
              </w:rPr>
              <w:t>–</w:t>
            </w:r>
            <w:r w:rsidRPr="00250D23">
              <w:rPr>
                <w:rFonts w:asciiTheme="minorHAnsi" w:hAnsiTheme="minorHAnsi"/>
                <w:lang w:val="en-US"/>
              </w:rPr>
              <w:tab/>
            </w:r>
            <w:r w:rsidRPr="000E5D70">
              <w:rPr>
                <w:rFonts w:asciiTheme="minorHAnsi" w:hAnsiTheme="minorHAnsi"/>
                <w:lang w:val="en-US"/>
              </w:rPr>
              <w:t>English</w:t>
            </w:r>
            <w:r w:rsidRPr="00250D23">
              <w:rPr>
                <w:rFonts w:asciiTheme="minorHAnsi" w:hAnsiTheme="minorHAnsi"/>
                <w:lang w:val="en-US"/>
              </w:rPr>
              <w:t>/</w:t>
            </w:r>
            <w:r w:rsidRPr="000E5D70">
              <w:rPr>
                <w:rFonts w:asciiTheme="minorHAnsi" w:hAnsiTheme="minorHAnsi"/>
                <w:lang w:val="en-GB"/>
              </w:rPr>
              <w:t>Dutch</w:t>
            </w:r>
            <w:r w:rsidRPr="00250D23">
              <w:rPr>
                <w:rFonts w:asciiTheme="minorHAnsi" w:hAnsiTheme="minorHAnsi"/>
                <w:lang w:val="en-US"/>
              </w:rPr>
              <w:t xml:space="preserve"> </w:t>
            </w:r>
            <w:r w:rsidRPr="000E5D70">
              <w:rPr>
                <w:rFonts w:asciiTheme="minorHAnsi" w:hAnsiTheme="minorHAnsi"/>
                <w:lang w:val="en-GB"/>
              </w:rPr>
              <w:t>auction</w:t>
            </w:r>
            <w:r w:rsidRPr="00250D23">
              <w:rPr>
                <w:rFonts w:asciiTheme="minorHAnsi" w:hAnsiTheme="minorHAnsi"/>
                <w:iCs/>
                <w:lang w:val="en-US"/>
              </w:rPr>
              <w:t xml:space="preserve"> </w:t>
            </w:r>
          </w:p>
          <w:p w:rsidR="000E5D70" w:rsidRPr="00250D23" w:rsidRDefault="000E5D70" w:rsidP="000E5D70">
            <w:pPr>
              <w:pStyle w:val="Tabletext"/>
              <w:tabs>
                <w:tab w:val="left" w:pos="350"/>
              </w:tabs>
              <w:rPr>
                <w:rFonts w:asciiTheme="minorHAnsi" w:hAnsiTheme="minorHAnsi"/>
                <w:lang w:val="en-US"/>
              </w:rPr>
            </w:pPr>
            <w:r w:rsidRPr="00250D23">
              <w:rPr>
                <w:rFonts w:asciiTheme="minorHAnsi" w:hAnsiTheme="minorHAnsi"/>
                <w:lang w:val="en-US"/>
              </w:rPr>
              <w:t>–</w:t>
            </w:r>
            <w:r w:rsidRPr="00250D23">
              <w:rPr>
                <w:rFonts w:asciiTheme="minorHAnsi" w:hAnsiTheme="minorHAnsi"/>
                <w:lang w:val="en-US"/>
              </w:rPr>
              <w:tab/>
            </w:r>
            <w:r w:rsidRPr="000E5D70">
              <w:rPr>
                <w:rFonts w:asciiTheme="minorHAnsi" w:hAnsiTheme="minorHAnsi"/>
                <w:lang w:val="en-GB"/>
              </w:rPr>
              <w:t>Clock</w:t>
            </w:r>
            <w:r w:rsidRPr="00250D23">
              <w:rPr>
                <w:rFonts w:asciiTheme="minorHAnsi" w:hAnsiTheme="minorHAnsi"/>
                <w:lang w:val="en-US"/>
              </w:rPr>
              <w:t xml:space="preserve"> </w:t>
            </w:r>
            <w:r w:rsidRPr="000E5D70">
              <w:rPr>
                <w:rFonts w:asciiTheme="minorHAnsi" w:hAnsiTheme="minorHAnsi"/>
                <w:lang w:val="en-GB"/>
              </w:rPr>
              <w:t>auction</w:t>
            </w:r>
          </w:p>
          <w:p w:rsidR="000E5D70" w:rsidRPr="00250D23" w:rsidRDefault="000E5D70" w:rsidP="000E5D70">
            <w:pPr>
              <w:pStyle w:val="Tabletext"/>
              <w:tabs>
                <w:tab w:val="left" w:pos="350"/>
              </w:tabs>
              <w:rPr>
                <w:rFonts w:asciiTheme="minorHAnsi" w:hAnsiTheme="minorHAnsi"/>
                <w:lang w:val="en-US"/>
              </w:rPr>
            </w:pPr>
            <w:r w:rsidRPr="00250D23">
              <w:rPr>
                <w:rFonts w:asciiTheme="minorHAnsi" w:hAnsiTheme="minorHAnsi"/>
                <w:lang w:val="en-US"/>
              </w:rPr>
              <w:t>–</w:t>
            </w:r>
            <w:r w:rsidRPr="00250D23">
              <w:rPr>
                <w:rFonts w:asciiTheme="minorHAnsi" w:hAnsiTheme="minorHAnsi"/>
                <w:lang w:val="en-US"/>
              </w:rPr>
              <w:tab/>
              <w:t>Simultaneous multiple-round auction</w:t>
            </w:r>
          </w:p>
          <w:p w:rsidR="000E5D70" w:rsidRPr="000E5D70" w:rsidRDefault="000E5D70" w:rsidP="000E5D70">
            <w:pPr>
              <w:pStyle w:val="Tabletext"/>
              <w:tabs>
                <w:tab w:val="left" w:pos="350"/>
              </w:tabs>
              <w:rPr>
                <w:rFonts w:asciiTheme="minorHAnsi" w:hAnsiTheme="minorHAnsi"/>
              </w:rPr>
            </w:pPr>
            <w:r w:rsidRPr="000E5D70">
              <w:rPr>
                <w:rFonts w:asciiTheme="minorHAnsi" w:hAnsiTheme="minorHAnsi"/>
              </w:rPr>
              <w:t>–</w:t>
            </w:r>
            <w:r w:rsidRPr="000E5D70">
              <w:rPr>
                <w:rFonts w:asciiTheme="minorHAnsi" w:hAnsiTheme="minorHAnsi"/>
              </w:rPr>
              <w:tab/>
              <w:t>Sequential/simultaneous open auction</w:t>
            </w:r>
          </w:p>
        </w:tc>
        <w:tc>
          <w:tcPr>
            <w:tcW w:w="2543" w:type="dxa"/>
            <w:tcBorders>
              <w:top w:val="single" w:sz="4" w:space="0" w:color="auto"/>
              <w:left w:val="single" w:sz="4" w:space="0" w:color="auto"/>
              <w:bottom w:val="single" w:sz="4" w:space="0" w:color="auto"/>
              <w:right w:val="single" w:sz="4" w:space="0" w:color="auto"/>
            </w:tcBorders>
            <w:hideMark/>
          </w:tcPr>
          <w:p w:rsidR="000E5D70" w:rsidRPr="000E5D70" w:rsidRDefault="000E5D70" w:rsidP="000E5D70">
            <w:pPr>
              <w:pStyle w:val="Tabletext"/>
              <w:rPr>
                <w:rFonts w:asciiTheme="minorHAnsi" w:hAnsiTheme="minorHAnsi"/>
              </w:rPr>
            </w:pPr>
            <w:r w:rsidRPr="000E5D70">
              <w:rPr>
                <w:rFonts w:asciiTheme="minorHAnsi" w:hAnsiTheme="minorHAnsi"/>
              </w:rPr>
              <w:t>I &amp; 4.3.2</w:t>
            </w:r>
          </w:p>
          <w:p w:rsidR="000E5D70" w:rsidRPr="000E5D70" w:rsidRDefault="000E5D70" w:rsidP="000E5D70">
            <w:pPr>
              <w:pStyle w:val="Tabletext"/>
              <w:rPr>
                <w:rFonts w:asciiTheme="minorHAnsi" w:hAnsiTheme="minorHAnsi"/>
              </w:rPr>
            </w:pPr>
            <w:r w:rsidRPr="000E5D70">
              <w:rPr>
                <w:rFonts w:asciiTheme="minorHAnsi" w:hAnsiTheme="minorHAnsi"/>
              </w:rPr>
              <w:t>I &amp; 4.3.3</w:t>
            </w:r>
          </w:p>
          <w:p w:rsidR="000E5D70" w:rsidRPr="000E5D70" w:rsidRDefault="000E5D70" w:rsidP="000E5D70">
            <w:pPr>
              <w:pStyle w:val="Tabletext"/>
              <w:rPr>
                <w:rFonts w:asciiTheme="minorHAnsi" w:hAnsiTheme="minorHAnsi"/>
                <w:bCs/>
              </w:rPr>
            </w:pPr>
          </w:p>
          <w:p w:rsidR="000E5D70" w:rsidRPr="000E5D70" w:rsidRDefault="000E5D70" w:rsidP="000E5D70">
            <w:pPr>
              <w:pStyle w:val="Tabletext"/>
              <w:rPr>
                <w:rFonts w:asciiTheme="minorHAnsi" w:hAnsiTheme="minorHAnsi"/>
                <w:bCs/>
              </w:rPr>
            </w:pPr>
            <w:r w:rsidRPr="000E5D70">
              <w:rPr>
                <w:rFonts w:asciiTheme="minorHAnsi" w:hAnsiTheme="minorHAnsi"/>
              </w:rPr>
              <w:t>I &amp; 4.3.4</w:t>
            </w:r>
          </w:p>
          <w:p w:rsidR="000E5D70" w:rsidRPr="000E5D70" w:rsidRDefault="000E5D70" w:rsidP="000E5D70">
            <w:pPr>
              <w:pStyle w:val="Tabletext"/>
              <w:rPr>
                <w:rFonts w:asciiTheme="minorHAnsi" w:hAnsiTheme="minorHAnsi"/>
                <w:bCs/>
              </w:rPr>
            </w:pPr>
            <w:r w:rsidRPr="000E5D70">
              <w:rPr>
                <w:rFonts w:asciiTheme="minorHAnsi" w:hAnsiTheme="minorHAnsi"/>
              </w:rPr>
              <w:t>I &amp; 4.3.5</w:t>
            </w:r>
          </w:p>
          <w:p w:rsidR="000E5D70" w:rsidRPr="000E5D70" w:rsidRDefault="000E5D70" w:rsidP="000E5D70">
            <w:pPr>
              <w:pStyle w:val="Tabletext"/>
              <w:rPr>
                <w:rFonts w:asciiTheme="minorHAnsi" w:hAnsiTheme="minorHAnsi"/>
                <w:bCs/>
              </w:rPr>
            </w:pPr>
            <w:r w:rsidRPr="000E5D70">
              <w:rPr>
                <w:rFonts w:asciiTheme="minorHAnsi" w:hAnsiTheme="minorHAnsi"/>
              </w:rPr>
              <w:t>I &amp; 4.3.6</w:t>
            </w:r>
          </w:p>
          <w:p w:rsidR="000E5D70" w:rsidRPr="000E5D70" w:rsidRDefault="000E5D70" w:rsidP="000E5D70">
            <w:pPr>
              <w:pStyle w:val="Tabletext"/>
              <w:rPr>
                <w:rFonts w:asciiTheme="minorHAnsi" w:hAnsiTheme="minorHAnsi"/>
                <w:bCs/>
              </w:rPr>
            </w:pPr>
            <w:r w:rsidRPr="000E5D70">
              <w:rPr>
                <w:rFonts w:asciiTheme="minorHAnsi" w:hAnsiTheme="minorHAnsi"/>
              </w:rPr>
              <w:t>I &amp; 4.3.7</w:t>
            </w:r>
          </w:p>
          <w:p w:rsidR="000E5D70" w:rsidRPr="000E5D70" w:rsidRDefault="000E5D70" w:rsidP="000E5D70">
            <w:pPr>
              <w:pStyle w:val="Tabletext"/>
              <w:rPr>
                <w:rFonts w:asciiTheme="minorHAnsi" w:hAnsiTheme="minorHAnsi"/>
                <w:bCs/>
              </w:rPr>
            </w:pPr>
            <w:r w:rsidRPr="000E5D70">
              <w:rPr>
                <w:rFonts w:asciiTheme="minorHAnsi" w:hAnsiTheme="minorHAnsi"/>
              </w:rPr>
              <w:t>I &amp; 4.3.8</w:t>
            </w:r>
          </w:p>
          <w:p w:rsidR="000E5D70" w:rsidRPr="000E5D70" w:rsidRDefault="000E5D70" w:rsidP="000E5D70">
            <w:pPr>
              <w:pStyle w:val="Tabletext"/>
              <w:rPr>
                <w:rFonts w:asciiTheme="minorHAnsi" w:hAnsiTheme="minorHAnsi"/>
                <w:bCs/>
              </w:rPr>
            </w:pPr>
            <w:r w:rsidRPr="000E5D70">
              <w:rPr>
                <w:rFonts w:asciiTheme="minorHAnsi" w:hAnsiTheme="minorHAnsi"/>
              </w:rPr>
              <w:t>I &amp; 4.3.9</w:t>
            </w:r>
          </w:p>
        </w:tc>
      </w:tr>
      <w:tr w:rsidR="000E5D70" w:rsidRPr="000E5D70" w:rsidTr="00AF4080">
        <w:trPr>
          <w:jc w:val="center"/>
        </w:trPr>
        <w:tc>
          <w:tcPr>
            <w:tcW w:w="3434" w:type="dxa"/>
            <w:tcBorders>
              <w:top w:val="single" w:sz="4" w:space="0" w:color="auto"/>
              <w:left w:val="single" w:sz="4" w:space="0" w:color="auto"/>
              <w:bottom w:val="single" w:sz="4" w:space="0" w:color="auto"/>
              <w:right w:val="single" w:sz="4" w:space="0" w:color="auto"/>
            </w:tcBorders>
            <w:shd w:val="clear" w:color="auto" w:fill="E8F8FD"/>
            <w:hideMark/>
          </w:tcPr>
          <w:p w:rsidR="000E5D70" w:rsidRPr="00AC1B05" w:rsidRDefault="000E5D70" w:rsidP="000E5D70">
            <w:pPr>
              <w:pStyle w:val="Tabletext"/>
              <w:rPr>
                <w:rFonts w:asciiTheme="minorHAnsi" w:hAnsiTheme="minorHAnsi"/>
                <w:b/>
                <w:bCs/>
              </w:rPr>
            </w:pPr>
            <w:r w:rsidRPr="00AC1B05">
              <w:rPr>
                <w:rFonts w:asciiTheme="minorHAnsi" w:hAnsiTheme="minorHAnsi"/>
                <w:b/>
                <w:bCs/>
              </w:rPr>
              <w:t>Secondary Market</w:t>
            </w:r>
          </w:p>
        </w:tc>
        <w:tc>
          <w:tcPr>
            <w:tcW w:w="3762" w:type="dxa"/>
            <w:tcBorders>
              <w:top w:val="single" w:sz="4" w:space="0" w:color="auto"/>
              <w:left w:val="single" w:sz="4" w:space="0" w:color="auto"/>
              <w:bottom w:val="single" w:sz="4" w:space="0" w:color="auto"/>
              <w:right w:val="single" w:sz="4" w:space="0" w:color="auto"/>
            </w:tcBorders>
            <w:shd w:val="clear" w:color="auto" w:fill="E8F8FD"/>
            <w:hideMark/>
          </w:tcPr>
          <w:p w:rsidR="000E5D70" w:rsidRPr="000E5D70" w:rsidRDefault="000E5D70" w:rsidP="000E5D70">
            <w:pPr>
              <w:pStyle w:val="Tabletext"/>
              <w:rPr>
                <w:rFonts w:asciiTheme="minorHAnsi" w:hAnsiTheme="minorHAnsi"/>
              </w:rPr>
            </w:pPr>
            <w:r w:rsidRPr="000E5D70">
              <w:rPr>
                <w:rFonts w:asciiTheme="minorHAnsi" w:hAnsiTheme="minorHAnsi"/>
              </w:rPr>
              <w:t>“</w:t>
            </w:r>
            <w:r w:rsidRPr="000E5D70">
              <w:rPr>
                <w:rFonts w:asciiTheme="minorHAnsi" w:hAnsiTheme="minorHAnsi"/>
                <w:lang w:val="en-GB"/>
              </w:rPr>
              <w:t>Rights</w:t>
            </w:r>
            <w:r w:rsidRPr="000E5D70">
              <w:rPr>
                <w:rFonts w:asciiTheme="minorHAnsi" w:hAnsiTheme="minorHAnsi"/>
              </w:rPr>
              <w:t xml:space="preserve"> to </w:t>
            </w:r>
            <w:r w:rsidRPr="000E5D70">
              <w:rPr>
                <w:rFonts w:asciiTheme="minorHAnsi" w:hAnsiTheme="minorHAnsi"/>
                <w:lang w:val="en-GB"/>
              </w:rPr>
              <w:t>Frequencies</w:t>
            </w:r>
            <w:r w:rsidRPr="000E5D70">
              <w:rPr>
                <w:rFonts w:asciiTheme="minorHAnsi" w:hAnsiTheme="minorHAnsi"/>
              </w:rPr>
              <w:t xml:space="preserve"> Uses” </w:t>
            </w:r>
          </w:p>
        </w:tc>
        <w:tc>
          <w:tcPr>
            <w:tcW w:w="2543" w:type="dxa"/>
            <w:tcBorders>
              <w:top w:val="single" w:sz="4" w:space="0" w:color="auto"/>
              <w:left w:val="single" w:sz="4" w:space="0" w:color="auto"/>
              <w:bottom w:val="single" w:sz="4" w:space="0" w:color="auto"/>
              <w:right w:val="single" w:sz="4" w:space="0" w:color="auto"/>
            </w:tcBorders>
            <w:shd w:val="clear" w:color="auto" w:fill="E8F8FD"/>
            <w:hideMark/>
          </w:tcPr>
          <w:p w:rsidR="000E5D70" w:rsidRPr="000E5D70" w:rsidRDefault="000E5D70" w:rsidP="000E5D70">
            <w:pPr>
              <w:pStyle w:val="Tabletext"/>
              <w:rPr>
                <w:rFonts w:asciiTheme="minorHAnsi" w:hAnsiTheme="minorHAnsi"/>
              </w:rPr>
            </w:pPr>
            <w:r w:rsidRPr="000E5D70">
              <w:rPr>
                <w:rFonts w:asciiTheme="minorHAnsi" w:hAnsiTheme="minorHAnsi"/>
              </w:rPr>
              <w:t>I &amp; 5</w:t>
            </w:r>
          </w:p>
        </w:tc>
      </w:tr>
    </w:tbl>
    <w:p w:rsidR="000E5D70" w:rsidRDefault="000E5D70" w:rsidP="000E5D70">
      <w:pPr>
        <w:rPr>
          <w:lang w:val="fr-CH"/>
        </w:rPr>
      </w:pPr>
      <w:bookmarkStart w:id="47" w:name="_Toc356483661"/>
    </w:p>
    <w:p w:rsidR="000E5D70" w:rsidRDefault="000E5D70">
      <w:pPr>
        <w:spacing w:before="0"/>
        <w:jc w:val="left"/>
        <w:rPr>
          <w:b/>
          <w:szCs w:val="19"/>
          <w:lang w:val="fr-CH"/>
        </w:rPr>
      </w:pPr>
      <w:r>
        <w:rPr>
          <w:b/>
          <w:szCs w:val="19"/>
          <w:lang w:val="fr-CH"/>
        </w:rPr>
        <w:br w:type="page"/>
      </w:r>
    </w:p>
    <w:p w:rsidR="000E5D70" w:rsidRPr="00704D8C" w:rsidRDefault="000E5D70" w:rsidP="007327C1">
      <w:pPr>
        <w:pStyle w:val="Heading1"/>
      </w:pPr>
      <w:bookmarkStart w:id="48" w:name="_Toc380408310"/>
      <w:bookmarkEnd w:id="47"/>
      <w:r w:rsidRPr="00704D8C">
        <w:lastRenderedPageBreak/>
        <w:t xml:space="preserve">Annex </w:t>
      </w:r>
      <w:r>
        <w:t>7:</w:t>
      </w:r>
      <w:r w:rsidRPr="00704D8C">
        <w:t xml:space="preserve"> </w:t>
      </w:r>
      <w:r w:rsidRPr="00CC04AE">
        <w:t>Developing a Nationa</w:t>
      </w:r>
      <w:r>
        <w:t>l Spectrum Handbook: Colombia c</w:t>
      </w:r>
      <w:r w:rsidRPr="00CC04AE">
        <w:t>ase</w:t>
      </w:r>
      <w:bookmarkEnd w:id="48"/>
    </w:p>
    <w:p w:rsidR="000E5D70" w:rsidRPr="00CC04AE" w:rsidRDefault="000E5D70" w:rsidP="007327C1">
      <w:pPr>
        <w:pStyle w:val="Heading4"/>
      </w:pPr>
      <w:r w:rsidRPr="00CC04AE">
        <w:t>National Spectrum Management (NSM) Handbook for Colombia</w:t>
      </w:r>
    </w:p>
    <w:p w:rsidR="000E5D70" w:rsidRPr="00CC04AE" w:rsidRDefault="000E5D70" w:rsidP="007327C1">
      <w:pPr>
        <w:pStyle w:val="Heading1"/>
      </w:pPr>
      <w:bookmarkStart w:id="49" w:name="_Toc380408311"/>
      <w:r w:rsidRPr="00CC04AE">
        <w:t>I.</w:t>
      </w:r>
      <w:r w:rsidRPr="00CC04AE">
        <w:tab/>
        <w:t>Introduction</w:t>
      </w:r>
      <w:bookmarkEnd w:id="49"/>
    </w:p>
    <w:p w:rsidR="000E5D70" w:rsidRPr="00250D23" w:rsidRDefault="000E5D70" w:rsidP="000E5D70">
      <w:pPr>
        <w:rPr>
          <w:lang w:val="en-US"/>
        </w:rPr>
      </w:pPr>
      <w:r w:rsidRPr="00250D23">
        <w:rPr>
          <w:lang w:val="en-US"/>
        </w:rPr>
        <w:t>The National Spectrum Agency (ANE) of Colombia has just recently finished the development of the National Spectrum Management (NSM) Handbook for Colombia which contains 8 titles that encompass the multiple activities that national administrations deal with when carrying out spectrum management activities. Taking into account the importance of such a tool for national regulatory agencies, the administration of Colombia decided to present the obtained results to regional and global organizations so that it could be used as a reference by other administrations.</w:t>
      </w:r>
    </w:p>
    <w:p w:rsidR="000E5D70" w:rsidRPr="00250D23" w:rsidRDefault="000E5D70" w:rsidP="000E5D70">
      <w:pPr>
        <w:rPr>
          <w:lang w:val="en-US"/>
        </w:rPr>
      </w:pPr>
      <w:r w:rsidRPr="00250D23">
        <w:rPr>
          <w:lang w:val="en-US"/>
        </w:rPr>
        <w:t>Consequently, ANE proceeded to make the document public through the International Telecommunications Union (ITU) and presented it as a contribution to the ITU-R Working Party 1B meeting held in June 2013.</w:t>
      </w:r>
    </w:p>
    <w:p w:rsidR="000E5D70" w:rsidRPr="00250D23" w:rsidRDefault="000E5D70" w:rsidP="000E5D70">
      <w:pPr>
        <w:rPr>
          <w:lang w:val="en-US"/>
        </w:rPr>
      </w:pPr>
      <w:r w:rsidRPr="00250D23">
        <w:rPr>
          <w:lang w:val="en-US"/>
        </w:rPr>
        <w:t>The document was also presented in the meeting of the Joint Group ITU-D/ITU-R Resolution 9 (Rev. Hyderabad, 2010) also during the meeting held on June 2013. A request from the Joint Group Chairman was received in order to share the Colombian experience in elaborating the Colombian NSM Handbook, how other ITU documents where used for this purpose and how the contents were adapted to the particularities of the Colombian spectrum management framework in order for this information to be included in the Final Report of the Joint Group .</w:t>
      </w:r>
    </w:p>
    <w:p w:rsidR="000E5D70" w:rsidRPr="00250D23" w:rsidRDefault="000E5D70" w:rsidP="000E5D70">
      <w:pPr>
        <w:rPr>
          <w:lang w:val="en-US"/>
        </w:rPr>
      </w:pPr>
      <w:r w:rsidRPr="00250D23">
        <w:rPr>
          <w:lang w:val="en-US"/>
        </w:rPr>
        <w:t>In response to this request, this document describes the background for the development of the NSM Handbook of Colombia, the different stages carried out for the development and completion of the work presented in the Joint Group, a comparison between the Colombian NSM Handbook and the 2005 edition of ITU’s NSM handbook and, finally, some useful lessons learned during this work.</w:t>
      </w:r>
    </w:p>
    <w:p w:rsidR="000E5D70" w:rsidRPr="00250D23" w:rsidRDefault="000E5D70" w:rsidP="000E5D70">
      <w:pPr>
        <w:rPr>
          <w:lang w:val="en-US"/>
        </w:rPr>
      </w:pPr>
      <w:r w:rsidRPr="00250D23">
        <w:rPr>
          <w:lang w:val="en-US"/>
        </w:rPr>
        <w:t>Moreover, considering that Colombia is currently developing a proposal to adjust the spectrum fee regime taking into account some principles included in Title VI of the Colombian NSM Handbook, a brief description of the relevant features and elements of the proposal currently under internal discussion is presented at the end of this document.</w:t>
      </w:r>
    </w:p>
    <w:p w:rsidR="000E5D70" w:rsidRPr="00250D23" w:rsidRDefault="000E5D70" w:rsidP="000E5D70">
      <w:pPr>
        <w:rPr>
          <w:rFonts w:eastAsia="Times New Roman"/>
          <w:szCs w:val="19"/>
          <w:lang w:val="en-US"/>
        </w:rPr>
      </w:pPr>
      <w:r w:rsidRPr="00250D23">
        <w:rPr>
          <w:lang w:val="en-US"/>
        </w:rPr>
        <w:t>Finally, it should be noted that the execution of this important document in Colombia, was possible due to the participation of a group of ITU and national experts which gave to this handbook an excellent theoretical and practical level. These experts also achieved the effective adaptation of the contents of the NSM Handbook to the national needs in compliance with current international best practices.</w:t>
      </w:r>
    </w:p>
    <w:p w:rsidR="000E5D70" w:rsidRDefault="000E5D70" w:rsidP="007327C1">
      <w:pPr>
        <w:pStyle w:val="Heading1"/>
      </w:pPr>
      <w:bookmarkStart w:id="50" w:name="_Toc380408312"/>
      <w:r>
        <w:t>II.</w:t>
      </w:r>
      <w:r>
        <w:tab/>
        <w:t>Background</w:t>
      </w:r>
      <w:bookmarkEnd w:id="50"/>
    </w:p>
    <w:p w:rsidR="000E5D70" w:rsidRPr="00250D23" w:rsidRDefault="000E5D70" w:rsidP="000E5D70">
      <w:pPr>
        <w:rPr>
          <w:rFonts w:eastAsia="Times New Roman"/>
          <w:szCs w:val="19"/>
          <w:lang w:val="en-US"/>
        </w:rPr>
      </w:pPr>
      <w:r w:rsidRPr="00250D23">
        <w:rPr>
          <w:lang w:val="en-US"/>
        </w:rPr>
        <w:t>Due to the rapid technological changes in the telecommunications industry over the last years, the radioelectric spectrum has played an increasing role on the operation of new telecommunications services and applications. Nevertheless, the rapid changes in technology usually do not allow for national administrations, including the Colombian, to react and to take appropriate actions for achieving the greatest benefits for the community.</w:t>
      </w:r>
    </w:p>
    <w:p w:rsidR="000E5D70" w:rsidRPr="00250D23" w:rsidRDefault="000E5D70" w:rsidP="000E5D70">
      <w:pPr>
        <w:rPr>
          <w:lang w:val="en-US"/>
        </w:rPr>
      </w:pPr>
      <w:r w:rsidRPr="00250D23">
        <w:rPr>
          <w:lang w:val="en-US"/>
        </w:rPr>
        <w:t>Moreover, in relation to spectrum management, Colombia as any other country is immersed in an international environment. Hence, policies and initiatives for the spectrum management in the country must consider the guidelines that have been established by international organizations such as the ITU reflecting best practices for the harmonization in spectrum.</w:t>
      </w:r>
    </w:p>
    <w:p w:rsidR="000E5D70" w:rsidRPr="00250D23" w:rsidRDefault="000E5D70" w:rsidP="000E5D70">
      <w:pPr>
        <w:rPr>
          <w:lang w:val="en-US"/>
        </w:rPr>
      </w:pPr>
      <w:r w:rsidRPr="00250D23">
        <w:rPr>
          <w:lang w:val="en-US"/>
        </w:rPr>
        <w:t>These reasons, in addition to other specific national circumstances, generated the need to adapt to new ways for managing this scarce resource, including providing information about this activities on a more democratic manner.</w:t>
      </w:r>
    </w:p>
    <w:p w:rsidR="000E5D70" w:rsidRPr="00250D23" w:rsidRDefault="000E5D70" w:rsidP="000E5D70">
      <w:pPr>
        <w:rPr>
          <w:lang w:val="en-US"/>
        </w:rPr>
      </w:pPr>
      <w:r w:rsidRPr="00250D23">
        <w:rPr>
          <w:lang w:val="en-US"/>
        </w:rPr>
        <w:lastRenderedPageBreak/>
        <w:t>Therefore, based on the 2005 edition of ITU’s NSM Handbook, the Colombian government, recognizing the importance of having a guide that contained legal, economic, scientific, administrative and technical issues that would lead the way for all those involved in spectrum management activities, in 2007 took the decision to develop the NSM Handbook for Colombia. There have been multiple stages that allowed the Colombian Handbook to adapt to the Colombian constitutional and regulatory frameworks.</w:t>
      </w:r>
    </w:p>
    <w:p w:rsidR="000E5D70" w:rsidRPr="00250D23" w:rsidRDefault="000E5D70" w:rsidP="000E5D70">
      <w:pPr>
        <w:rPr>
          <w:rFonts w:eastAsia="Times New Roman"/>
          <w:szCs w:val="19"/>
          <w:lang w:val="en-US"/>
        </w:rPr>
      </w:pPr>
      <w:r w:rsidRPr="00250D23">
        <w:rPr>
          <w:lang w:val="en-US"/>
        </w:rPr>
        <w:t>Thus, the NSM Handbook for Colombia based on ITU’s Handbook preserves the thematic structure of the latter in a different order. The contents are initially based on ITU’s NSM Handbook with the addition of a deeper and broader scope in order to include latest spectrum management trends. Hence, the Colombian Handbook was enriched based on best international practices regarding new theories, trends and developments on radio spectrum management and expanded by including references from the latest versions of ITU-R Recommendations.</w:t>
      </w:r>
    </w:p>
    <w:p w:rsidR="000E5D70" w:rsidRDefault="000E5D70" w:rsidP="007327C1">
      <w:pPr>
        <w:pStyle w:val="Heading1"/>
        <w:rPr>
          <w:szCs w:val="19"/>
        </w:rPr>
      </w:pPr>
      <w:bookmarkStart w:id="51" w:name="_Toc380408313"/>
      <w:r>
        <w:rPr>
          <w:szCs w:val="19"/>
        </w:rPr>
        <w:t>III.</w:t>
      </w:r>
      <w:r>
        <w:rPr>
          <w:szCs w:val="19"/>
        </w:rPr>
        <w:tab/>
      </w:r>
      <w:r>
        <w:t>Description of Colombian NSM Handbook Development Process</w:t>
      </w:r>
      <w:bookmarkEnd w:id="51"/>
    </w:p>
    <w:p w:rsidR="000E5D70" w:rsidRPr="00250D23" w:rsidRDefault="000E5D70" w:rsidP="000E5D70">
      <w:pPr>
        <w:rPr>
          <w:lang w:val="en-US"/>
        </w:rPr>
      </w:pPr>
      <w:r w:rsidRPr="00250D23">
        <w:rPr>
          <w:lang w:val="en-US"/>
        </w:rPr>
        <w:t>The first stage (2007) determined the structure of the contents taking into account the guidelines of Spectrum Management Handbook developed by ITU.  This proposal included the initial definition of an index or table of contents that allowed setting an organized plan on the main issues to be addressed in the preparation and development of the handbook. The result of this phase was a structure model for later developments in various subject areas that should be incorporated into the final document.</w:t>
      </w:r>
    </w:p>
    <w:p w:rsidR="000E5D70" w:rsidRPr="00250D23" w:rsidRDefault="000E5D70" w:rsidP="000E5D70">
      <w:pPr>
        <w:rPr>
          <w:lang w:val="en-US"/>
        </w:rPr>
      </w:pPr>
      <w:r w:rsidRPr="00250D23">
        <w:rPr>
          <w:lang w:val="en-US"/>
        </w:rPr>
        <w:t>The second stage (2008) started by defining the structural aspects of the national spectrum management policy.  On this stage recommendations and contents related to the fundamentals for the national spectrum management (Title I), spectrum planning and adjustment and updating of existing frequency plans (Title IV), Spectrum permits and Frequency Assignment Processes (Title III), Radio Spectrum Economics (Title VI) were developed. During this period all the requirements for the joint work with ITU were established in order to make sure the participation of international experts was guaranteed for the development of the next phases of the Handbook .</w:t>
      </w:r>
    </w:p>
    <w:p w:rsidR="000E5D70" w:rsidRPr="00250D23" w:rsidRDefault="000E5D70" w:rsidP="000E5D70">
      <w:pPr>
        <w:rPr>
          <w:lang w:val="en-US"/>
        </w:rPr>
      </w:pPr>
      <w:r w:rsidRPr="00250D23">
        <w:rPr>
          <w:lang w:val="en-US"/>
        </w:rPr>
        <w:t>It is important to mention that, at this point, the work done during the first and second stages were important inputs for the identification and introduction of legal adjustments to the spectrum management framework in the country. Among these adjustments, the most important ones were related to the institutional structure and the economic obligations of operators using spectrum. As a result of this, the new legal framework of the ICT industry issued in 2009 included important elements for improving spectrum management activities such as the creation of the National Spectrum Agency (ANE), a new governmental organization in charge of advising the Ministry of ICTs in all aspects of radio electric spectrum management.</w:t>
      </w:r>
    </w:p>
    <w:p w:rsidR="000E5D70" w:rsidRPr="00250D23" w:rsidRDefault="000E5D70" w:rsidP="000E5D70">
      <w:pPr>
        <w:rPr>
          <w:lang w:val="en-US"/>
        </w:rPr>
      </w:pPr>
      <w:r w:rsidRPr="00250D23">
        <w:rPr>
          <w:lang w:val="en-US"/>
        </w:rPr>
        <w:t xml:space="preserve">Between 2009 and 2010 the third stage was carried out.  On this stage the Colombian government worked with ITU experts in structuring and developing the content of the remaining titles of the Handbook. The work focused on titles related to Radio Spectrum Engineering (Title II), Radio Spectrum Monitoring (Title V), Measurement and Spectrum Efficiency Factors (Title VIII) and Type Approval of Equipment and Devices (Title IX). The work done on this stage was characterized by a deep analysis and research of the aforementioned topics and its adjustment to the national legal framework. </w:t>
      </w:r>
    </w:p>
    <w:p w:rsidR="000E5D70" w:rsidRPr="00250D23" w:rsidRDefault="000E5D70" w:rsidP="000E5D70">
      <w:pPr>
        <w:rPr>
          <w:lang w:val="en-US"/>
        </w:rPr>
      </w:pPr>
      <w:r w:rsidRPr="00250D23">
        <w:rPr>
          <w:lang w:val="en-US"/>
        </w:rPr>
        <w:t>In a fourth stage (2011-2012) modifications and adjustments which came from legal and institutional reforms that took place during the time the handbook was being developed were introduced. The changes brought to the handbook according to new realities, trends and rules that were introduced in the country.</w:t>
      </w:r>
    </w:p>
    <w:p w:rsidR="000E5D70" w:rsidRPr="00250D23" w:rsidRDefault="000E5D70" w:rsidP="000E5D70">
      <w:pPr>
        <w:rPr>
          <w:lang w:val="en-US"/>
        </w:rPr>
      </w:pPr>
      <w:r w:rsidRPr="00250D23">
        <w:rPr>
          <w:lang w:val="en-US"/>
        </w:rPr>
        <w:t>Finally, translations and editing of the documents prepared by the ITU experts were translated to Spanish.</w:t>
      </w:r>
    </w:p>
    <w:p w:rsidR="006504A4" w:rsidRDefault="006504A4">
      <w:pPr>
        <w:spacing w:before="0"/>
        <w:jc w:val="left"/>
        <w:rPr>
          <w:rFonts w:eastAsia="Times New Roman" w:cs="Helvetica"/>
          <w:b/>
          <w:bCs/>
          <w:color w:val="005173"/>
          <w:sz w:val="28"/>
          <w:szCs w:val="19"/>
          <w:lang w:val="en-US"/>
        </w:rPr>
      </w:pPr>
      <w:r w:rsidRPr="00250D23">
        <w:rPr>
          <w:szCs w:val="19"/>
          <w:lang w:val="en-US"/>
        </w:rPr>
        <w:br w:type="page"/>
      </w:r>
    </w:p>
    <w:p w:rsidR="000E5D70" w:rsidRDefault="000E5D70" w:rsidP="00110706">
      <w:pPr>
        <w:pStyle w:val="Heading1"/>
        <w:rPr>
          <w:szCs w:val="19"/>
        </w:rPr>
      </w:pPr>
      <w:bookmarkStart w:id="52" w:name="_Toc380408314"/>
      <w:r>
        <w:rPr>
          <w:szCs w:val="19"/>
        </w:rPr>
        <w:lastRenderedPageBreak/>
        <w:t>IV.</w:t>
      </w:r>
      <w:r>
        <w:rPr>
          <w:szCs w:val="19"/>
        </w:rPr>
        <w:tab/>
      </w:r>
      <w:r>
        <w:t>Com</w:t>
      </w:r>
      <w:r w:rsidRPr="00110706">
        <w:rPr>
          <w:rFonts w:eastAsia="SimSun"/>
        </w:rPr>
        <w:t>p</w:t>
      </w:r>
      <w:r>
        <w:t>arison of ITU´s and Colombia’s NSM Handbooks</w:t>
      </w:r>
      <w:bookmarkEnd w:id="52"/>
    </w:p>
    <w:p w:rsidR="000E5D70" w:rsidRPr="00250D23" w:rsidRDefault="000E5D70" w:rsidP="000E5D70">
      <w:pPr>
        <w:rPr>
          <w:bCs/>
          <w:lang w:val="en-US"/>
        </w:rPr>
      </w:pPr>
      <w:r w:rsidRPr="00250D23">
        <w:rPr>
          <w:b/>
          <w:lang w:val="en-US"/>
        </w:rPr>
        <w:t>Features of the NSM Handbook for Colombia</w:t>
      </w:r>
      <w:r w:rsidRPr="00250D23">
        <w:rPr>
          <w:lang w:val="en-US"/>
        </w:rPr>
        <w:t>: Among the most important, we can highlight the following:</w:t>
      </w:r>
    </w:p>
    <w:p w:rsidR="000E5D70" w:rsidRPr="00CC04AE" w:rsidRDefault="007327C1" w:rsidP="007327C1">
      <w:pPr>
        <w:pStyle w:val="Enumlevel1"/>
        <w:rPr>
          <w:rFonts w:eastAsia="Times New Roman"/>
          <w:bCs/>
          <w:szCs w:val="19"/>
        </w:rPr>
      </w:pPr>
      <w:r>
        <w:rPr>
          <w:rFonts w:ascii="Times New Roman" w:hAnsi="Times New Roman" w:cs="Times New Roman"/>
        </w:rPr>
        <w:t>•</w:t>
      </w:r>
      <w:r>
        <w:tab/>
      </w:r>
      <w:r w:rsidR="000E5D70" w:rsidRPr="00CC04AE">
        <w:t>It deals with topics such as the bases for spectrum management processes formulation and implementation, the latest trends and best practices in spectrum management and their integration into the national activities carried out by the administration.</w:t>
      </w:r>
    </w:p>
    <w:p w:rsidR="000E5D70" w:rsidRPr="00CC04AE" w:rsidRDefault="007327C1" w:rsidP="007327C1">
      <w:pPr>
        <w:pStyle w:val="Enumlevel1"/>
        <w:rPr>
          <w:rFonts w:eastAsia="Times New Roman"/>
          <w:bCs/>
          <w:szCs w:val="19"/>
        </w:rPr>
      </w:pPr>
      <w:r>
        <w:rPr>
          <w:rFonts w:ascii="Times New Roman" w:hAnsi="Times New Roman" w:cs="Times New Roman"/>
        </w:rPr>
        <w:t>•</w:t>
      </w:r>
      <w:r>
        <w:tab/>
      </w:r>
      <w:r w:rsidR="000E5D70" w:rsidRPr="00CC04AE">
        <w:t>It recommends the administrative structure and the authorities directly or indirectly associated with spectrum organization and administration in the country, specifying their objectives, jurisdictions and how they harmonize on behalf of the definition of clear policies for Radio Spectrum management.</w:t>
      </w:r>
    </w:p>
    <w:p w:rsidR="000E5D70" w:rsidRPr="00CC04AE" w:rsidRDefault="007327C1" w:rsidP="007327C1">
      <w:pPr>
        <w:pStyle w:val="Enumlevel1"/>
        <w:rPr>
          <w:rFonts w:eastAsia="Times New Roman"/>
          <w:bCs/>
          <w:szCs w:val="19"/>
        </w:rPr>
      </w:pPr>
      <w:r>
        <w:rPr>
          <w:rFonts w:ascii="Times New Roman" w:hAnsi="Times New Roman" w:cs="Times New Roman"/>
        </w:rPr>
        <w:t>•</w:t>
      </w:r>
      <w:r>
        <w:tab/>
      </w:r>
      <w:r w:rsidR="000E5D70" w:rsidRPr="00CC04AE">
        <w:t>It presents advantages and disadvantages of each one of the spectrum management models, so that administrations can choose the best combination between them, according to their policies and plans.</w:t>
      </w:r>
    </w:p>
    <w:p w:rsidR="000E5D70" w:rsidRPr="00CC04AE" w:rsidRDefault="007327C1" w:rsidP="007327C1">
      <w:pPr>
        <w:pStyle w:val="Enumlevel1"/>
        <w:rPr>
          <w:rFonts w:eastAsia="Times New Roman"/>
          <w:bCs/>
          <w:szCs w:val="19"/>
        </w:rPr>
      </w:pPr>
      <w:r>
        <w:rPr>
          <w:rFonts w:ascii="Times New Roman" w:hAnsi="Times New Roman" w:cs="Times New Roman"/>
        </w:rPr>
        <w:t>•</w:t>
      </w:r>
      <w:r>
        <w:tab/>
      </w:r>
      <w:r w:rsidR="000E5D70" w:rsidRPr="00CC04AE">
        <w:t>It presents guidelines for the definition of spectrum policies to facilitate the adequate planning of the Radio spectrum as a scarce resource, seeking fair access for those who need it.</w:t>
      </w:r>
    </w:p>
    <w:p w:rsidR="000E5D70" w:rsidRPr="00CC04AE" w:rsidRDefault="007327C1" w:rsidP="007327C1">
      <w:pPr>
        <w:pStyle w:val="Enumlevel1"/>
        <w:rPr>
          <w:rFonts w:eastAsia="Times New Roman"/>
          <w:bCs/>
          <w:szCs w:val="19"/>
        </w:rPr>
      </w:pPr>
      <w:r>
        <w:rPr>
          <w:rFonts w:ascii="Times New Roman" w:hAnsi="Times New Roman" w:cs="Times New Roman"/>
        </w:rPr>
        <w:t>•</w:t>
      </w:r>
      <w:r>
        <w:tab/>
      </w:r>
      <w:r w:rsidR="000E5D70" w:rsidRPr="00CC04AE">
        <w:t>It develops from a conceptual standpoint and framed in the international arena, the principles, criteria, and policies for the assignment of frequencies, the duties and powers of the administration.</w:t>
      </w:r>
    </w:p>
    <w:p w:rsidR="000E5D70" w:rsidRPr="00CC04AE" w:rsidRDefault="007327C1" w:rsidP="007327C1">
      <w:pPr>
        <w:pStyle w:val="Enumlevel1"/>
        <w:rPr>
          <w:rFonts w:eastAsia="Times New Roman"/>
          <w:bCs/>
          <w:szCs w:val="19"/>
        </w:rPr>
      </w:pPr>
      <w:r>
        <w:rPr>
          <w:rFonts w:ascii="Times New Roman" w:hAnsi="Times New Roman" w:cs="Times New Roman"/>
        </w:rPr>
        <w:t>•</w:t>
      </w:r>
      <w:r>
        <w:tab/>
      </w:r>
      <w:r w:rsidR="000E5D70" w:rsidRPr="00CC04AE">
        <w:t>It gives the necessary information about how to carry out the radio spectrum planning activities, considering the economic, social and technical components.</w:t>
      </w:r>
    </w:p>
    <w:p w:rsidR="000E5D70" w:rsidRPr="00CC04AE" w:rsidRDefault="007327C1" w:rsidP="007327C1">
      <w:pPr>
        <w:pStyle w:val="Enumlevel1"/>
        <w:rPr>
          <w:rFonts w:eastAsia="Times New Roman"/>
          <w:bCs/>
          <w:szCs w:val="19"/>
        </w:rPr>
      </w:pPr>
      <w:r>
        <w:rPr>
          <w:rFonts w:ascii="Times New Roman" w:hAnsi="Times New Roman" w:cs="Times New Roman"/>
        </w:rPr>
        <w:t>•</w:t>
      </w:r>
      <w:r>
        <w:tab/>
      </w:r>
      <w:r w:rsidR="000E5D70" w:rsidRPr="00CC04AE">
        <w:t>It shows how to define compensations for the use of the Radio Spectrum, based on the variables of the Colombian economy.</w:t>
      </w:r>
    </w:p>
    <w:p w:rsidR="000E5D70" w:rsidRPr="00CC04AE" w:rsidRDefault="007327C1" w:rsidP="007327C1">
      <w:pPr>
        <w:pStyle w:val="Enumlevel1"/>
        <w:rPr>
          <w:rFonts w:eastAsia="Times New Roman"/>
          <w:bCs/>
          <w:szCs w:val="19"/>
        </w:rPr>
      </w:pPr>
      <w:r>
        <w:rPr>
          <w:rFonts w:ascii="Times New Roman" w:hAnsi="Times New Roman" w:cs="Times New Roman"/>
        </w:rPr>
        <w:t>•</w:t>
      </w:r>
      <w:r>
        <w:tab/>
      </w:r>
      <w:r w:rsidR="000E5D70" w:rsidRPr="00CC04AE">
        <w:t>It describes the different tools and establishes the mechanisms for the analysis of engineering and measurement of parameters such as interference, noise levels and radiation limits, among others.</w:t>
      </w:r>
    </w:p>
    <w:p w:rsidR="000E5D70" w:rsidRPr="00CC04AE" w:rsidRDefault="007327C1" w:rsidP="007327C1">
      <w:pPr>
        <w:pStyle w:val="Enumlevel1"/>
        <w:rPr>
          <w:rFonts w:eastAsia="Times New Roman"/>
          <w:bCs/>
          <w:szCs w:val="19"/>
        </w:rPr>
      </w:pPr>
      <w:r>
        <w:rPr>
          <w:rFonts w:ascii="Times New Roman" w:hAnsi="Times New Roman" w:cs="Times New Roman"/>
        </w:rPr>
        <w:t>•</w:t>
      </w:r>
      <w:r>
        <w:tab/>
      </w:r>
      <w:r w:rsidR="000E5D70" w:rsidRPr="00CC04AE">
        <w:t>It presents the characteristics concerning verifications and technical inspections aimed at supervision and control over the use of the resource.</w:t>
      </w:r>
    </w:p>
    <w:p w:rsidR="00041568" w:rsidRPr="00250D23" w:rsidRDefault="00041568">
      <w:pPr>
        <w:spacing w:before="0"/>
        <w:jc w:val="left"/>
        <w:rPr>
          <w:lang w:val="en-US"/>
        </w:rPr>
      </w:pPr>
      <w:r w:rsidRPr="00250D23">
        <w:rPr>
          <w:lang w:val="en-US"/>
        </w:rPr>
        <w:br w:type="page"/>
      </w:r>
    </w:p>
    <w:p w:rsidR="000E5D70" w:rsidRPr="00250D23" w:rsidRDefault="000E5D70" w:rsidP="007327C1">
      <w:pPr>
        <w:rPr>
          <w:lang w:val="en-US"/>
        </w:rPr>
      </w:pPr>
      <w:r w:rsidRPr="00250D23">
        <w:rPr>
          <w:lang w:val="en-US"/>
        </w:rPr>
        <w:lastRenderedPageBreak/>
        <w:t>The following chart provides a graphic description of the comparison of contents of both Handbooks:</w:t>
      </w:r>
    </w:p>
    <w:p w:rsidR="007327C1" w:rsidRDefault="007327C1" w:rsidP="007327C1">
      <w:pPr>
        <w:pStyle w:val="Figure"/>
      </w:pPr>
      <w:r>
        <w:object w:dxaOrig="8820" w:dyaOrig="10035">
          <v:shape id="_x0000_i1054" type="#_x0000_t75" style="width:441.2pt;height:501.5pt" o:ole="">
            <v:imagedata r:id="rId71" o:title=""/>
          </v:shape>
          <o:OLEObject Type="Embed" ProgID="Word.Document.12" ShapeID="_x0000_i1054" DrawAspect="Content" ObjectID="_1456057575" r:id="rId72">
            <o:FieldCodes>\s</o:FieldCodes>
          </o:OLEObject>
        </w:object>
      </w:r>
    </w:p>
    <w:p w:rsidR="007327C1" w:rsidRDefault="007327C1" w:rsidP="007327C1">
      <w:pPr>
        <w:pStyle w:val="figuresource"/>
      </w:pPr>
    </w:p>
    <w:p w:rsidR="006504A4" w:rsidRDefault="006504A4" w:rsidP="006504A4"/>
    <w:p w:rsidR="006504A4" w:rsidRDefault="006504A4">
      <w:pPr>
        <w:spacing w:before="0"/>
        <w:jc w:val="left"/>
        <w:rPr>
          <w:rFonts w:eastAsia="Times New Roman" w:cs="Helvetica"/>
          <w:b/>
          <w:bCs/>
          <w:color w:val="005173"/>
          <w:sz w:val="28"/>
          <w:szCs w:val="28"/>
          <w:lang w:val="en-US"/>
        </w:rPr>
      </w:pPr>
      <w:r>
        <w:br w:type="page"/>
      </w:r>
    </w:p>
    <w:p w:rsidR="000E5D70" w:rsidRDefault="000E5D70" w:rsidP="007327C1">
      <w:pPr>
        <w:pStyle w:val="Heading1"/>
      </w:pPr>
      <w:bookmarkStart w:id="53" w:name="_Toc380408315"/>
      <w:r>
        <w:lastRenderedPageBreak/>
        <w:t>V.</w:t>
      </w:r>
      <w:r>
        <w:tab/>
        <w:t>Lessons learned</w:t>
      </w:r>
      <w:bookmarkEnd w:id="53"/>
    </w:p>
    <w:p w:rsidR="000E5D70" w:rsidRPr="00250D23" w:rsidRDefault="000E5D70" w:rsidP="000E5D70">
      <w:pPr>
        <w:ind w:left="567" w:hanging="567"/>
        <w:rPr>
          <w:rFonts w:eastAsia="Times New Roman"/>
          <w:bCs/>
          <w:szCs w:val="19"/>
          <w:lang w:val="en-US"/>
        </w:rPr>
      </w:pPr>
      <w:r w:rsidRPr="00250D23">
        <w:rPr>
          <w:lang w:val="en-US"/>
        </w:rPr>
        <w:t>The development of the NSM Handbook for Colombia has given the following lessons:</w:t>
      </w:r>
    </w:p>
    <w:p w:rsidR="000E5D70" w:rsidRDefault="000E5D70" w:rsidP="007327C1">
      <w:pPr>
        <w:pStyle w:val="Enumlevel1"/>
        <w:rPr>
          <w:szCs w:val="19"/>
        </w:rPr>
      </w:pPr>
      <w:r>
        <w:rPr>
          <w:szCs w:val="19"/>
        </w:rPr>
        <w:t>a)</w:t>
      </w:r>
      <w:r>
        <w:rPr>
          <w:szCs w:val="19"/>
        </w:rPr>
        <w:tab/>
      </w:r>
      <w:r>
        <w:t>The handbook is an alive, dynamic and frequently changing tool. Consequently, there is a need for permanent revision and update addressing and introducing systematic and orderly changes and modifications. These reforms can be technical, economical and normative that usually occurs over time.</w:t>
      </w:r>
    </w:p>
    <w:p w:rsidR="000E5D70" w:rsidRDefault="000E5D70" w:rsidP="007327C1">
      <w:pPr>
        <w:pStyle w:val="Enumlevel1"/>
        <w:rPr>
          <w:szCs w:val="19"/>
        </w:rPr>
      </w:pPr>
      <w:r>
        <w:rPr>
          <w:szCs w:val="19"/>
        </w:rPr>
        <w:t>b)</w:t>
      </w:r>
      <w:r>
        <w:rPr>
          <w:szCs w:val="19"/>
        </w:rPr>
        <w:tab/>
      </w:r>
      <w:r>
        <w:t>The handbook is an indispensable tool to make a more efficient, transparent and public management of the radio spectrum.  At the same time, it constitutes an input for public officers training to perform such duties and also to generate knowledge to the public.</w:t>
      </w:r>
    </w:p>
    <w:p w:rsidR="000E5D70" w:rsidRDefault="000E5D70" w:rsidP="007327C1">
      <w:pPr>
        <w:pStyle w:val="Enumlevel1"/>
        <w:rPr>
          <w:szCs w:val="19"/>
        </w:rPr>
      </w:pPr>
      <w:r>
        <w:rPr>
          <w:szCs w:val="19"/>
        </w:rPr>
        <w:t>c)</w:t>
      </w:r>
      <w:r>
        <w:rPr>
          <w:szCs w:val="19"/>
        </w:rPr>
        <w:tab/>
      </w:r>
      <w:r>
        <w:t>The handbook is a multifaceted and interdisciplinary instrument. The handbook covers the technical, economical, administrative, institutional, regulatory and policy aspects related to managing spectrum.</w:t>
      </w:r>
    </w:p>
    <w:p w:rsidR="000E5D70" w:rsidRPr="00CC04AE" w:rsidRDefault="000E5D70" w:rsidP="007327C1">
      <w:pPr>
        <w:pStyle w:val="Enumlevel1"/>
        <w:rPr>
          <w:szCs w:val="19"/>
        </w:rPr>
      </w:pPr>
      <w:r w:rsidRPr="00CC04AE">
        <w:rPr>
          <w:szCs w:val="19"/>
        </w:rPr>
        <w:t>d)</w:t>
      </w:r>
      <w:r w:rsidRPr="00CC04AE">
        <w:rPr>
          <w:szCs w:val="19"/>
        </w:rPr>
        <w:tab/>
        <w:t xml:space="preserve">The </w:t>
      </w:r>
      <w:r w:rsidRPr="007327C1">
        <w:t>handbook</w:t>
      </w:r>
      <w:r w:rsidRPr="00CC04AE">
        <w:rPr>
          <w:szCs w:val="19"/>
        </w:rPr>
        <w:t xml:space="preserve"> is a useful tool for </w:t>
      </w:r>
      <w:r>
        <w:rPr>
          <w:szCs w:val="19"/>
        </w:rPr>
        <w:t xml:space="preserve">formulating national policies and for </w:t>
      </w:r>
      <w:r w:rsidRPr="00CC04AE">
        <w:rPr>
          <w:szCs w:val="19"/>
        </w:rPr>
        <w:t>identify</w:t>
      </w:r>
      <w:r>
        <w:rPr>
          <w:szCs w:val="19"/>
        </w:rPr>
        <w:t>ing</w:t>
      </w:r>
      <w:r w:rsidRPr="00CC04AE">
        <w:rPr>
          <w:szCs w:val="19"/>
        </w:rPr>
        <w:t xml:space="preserve"> th</w:t>
      </w:r>
      <w:r>
        <w:rPr>
          <w:szCs w:val="19"/>
        </w:rPr>
        <w:t>e policies</w:t>
      </w:r>
      <w:r w:rsidRPr="00CC04AE">
        <w:rPr>
          <w:szCs w:val="19"/>
        </w:rPr>
        <w:t xml:space="preserve"> that are in force.</w:t>
      </w:r>
    </w:p>
    <w:p w:rsidR="000E5D70" w:rsidRDefault="000E5D70" w:rsidP="007327C1">
      <w:pPr>
        <w:pStyle w:val="Enumlevel1"/>
        <w:rPr>
          <w:szCs w:val="19"/>
        </w:rPr>
      </w:pPr>
      <w:r>
        <w:rPr>
          <w:szCs w:val="19"/>
        </w:rPr>
        <w:t>e)</w:t>
      </w:r>
      <w:r>
        <w:rPr>
          <w:szCs w:val="19"/>
        </w:rPr>
        <w:tab/>
      </w:r>
      <w:r>
        <w:t>The regulatory developments related to spectrum, the national technical plans, the procedures for allocation and assignment of frequencies, must be subsequent demonstrations and practical applications taken from the content of the handbook.</w:t>
      </w:r>
    </w:p>
    <w:p w:rsidR="000E5D70" w:rsidRDefault="000E5D70" w:rsidP="007327C1">
      <w:pPr>
        <w:pStyle w:val="Enumlevel1"/>
        <w:rPr>
          <w:szCs w:val="19"/>
        </w:rPr>
      </w:pPr>
      <w:r>
        <w:rPr>
          <w:szCs w:val="19"/>
        </w:rPr>
        <w:t>f)</w:t>
      </w:r>
      <w:r>
        <w:rPr>
          <w:szCs w:val="19"/>
        </w:rPr>
        <w:tab/>
      </w:r>
      <w:r>
        <w:t>To have a national handbook for managing the spectrum allows identifying the policies and common objectives related to the spectrum management activities at a national level that can serve as a support for performing these activities in border regions.</w:t>
      </w:r>
    </w:p>
    <w:p w:rsidR="000E5D70" w:rsidRDefault="000E5D70" w:rsidP="007327C1">
      <w:pPr>
        <w:pStyle w:val="Heading1"/>
        <w:rPr>
          <w:szCs w:val="19"/>
        </w:rPr>
      </w:pPr>
      <w:bookmarkStart w:id="54" w:name="_Toc380408316"/>
      <w:r>
        <w:rPr>
          <w:szCs w:val="19"/>
        </w:rPr>
        <w:t>VI.</w:t>
      </w:r>
      <w:r>
        <w:rPr>
          <w:szCs w:val="19"/>
        </w:rPr>
        <w:tab/>
      </w:r>
      <w:r>
        <w:t>Financial obligations related to the use of spectrum in Colombia</w:t>
      </w:r>
      <w:bookmarkEnd w:id="54"/>
    </w:p>
    <w:p w:rsidR="000E5D70" w:rsidRPr="00250D23" w:rsidRDefault="000E5D70" w:rsidP="000E5D70">
      <w:pPr>
        <w:rPr>
          <w:lang w:val="en-US"/>
        </w:rPr>
      </w:pPr>
      <w:r w:rsidRPr="00250D23">
        <w:rPr>
          <w:lang w:val="en-US"/>
        </w:rPr>
        <w:t>This chapter provides an outline of the work carried out by the Colombian administration in relation to the adjustment and modification of the spectrum fees regime over the past three years. This proposal will be put on consideration of the industry and the public in the second half of 2013 and is expected to be approved and issued before the end of this year.</w:t>
      </w:r>
    </w:p>
    <w:p w:rsidR="000E5D70" w:rsidRPr="00250D23" w:rsidRDefault="000E5D70" w:rsidP="000E5D70">
      <w:pPr>
        <w:rPr>
          <w:lang w:val="en-US"/>
        </w:rPr>
      </w:pPr>
      <w:r w:rsidRPr="00250D23">
        <w:rPr>
          <w:lang w:val="en-US"/>
        </w:rPr>
        <w:t xml:space="preserve">The analysis carried out for the constructions of this proposal allowed to conclude on the need to adjust the current spectrum management model applied in Colombia in order to develop a more flexible model in Colombia. In the short term the proposed model will introduce incentives to promote a more efficient use of the spectrum. Consequently, the Colombian administration is preparing the context for greater flexibility on the use of the spectrum and in the medium term a partial liberalization scenario is expected to be put in place. </w:t>
      </w:r>
    </w:p>
    <w:p w:rsidR="000E5D70" w:rsidRPr="00250D23" w:rsidRDefault="000E5D70" w:rsidP="000E5D70">
      <w:pPr>
        <w:rPr>
          <w:lang w:val="en-US"/>
        </w:rPr>
      </w:pPr>
      <w:r w:rsidRPr="00250D23">
        <w:rPr>
          <w:lang w:val="en-US"/>
        </w:rPr>
        <w:t>This aspect is consistent with the recommendations contained in the ITU Spectrum Management Handbook which encourage policies for the flexible use of spectrum because it promotes the development of services and technologies.</w:t>
      </w:r>
    </w:p>
    <w:p w:rsidR="000E5D70" w:rsidRPr="00250D23" w:rsidRDefault="000E5D70" w:rsidP="000E5D70">
      <w:pPr>
        <w:rPr>
          <w:rFonts w:eastAsia="Times New Roman"/>
          <w:bCs/>
          <w:szCs w:val="19"/>
          <w:lang w:val="en-US"/>
        </w:rPr>
      </w:pPr>
      <w:r w:rsidRPr="00250D23">
        <w:rPr>
          <w:lang w:val="en-US"/>
        </w:rPr>
        <w:t>Following there is a brief description of the general aspects of the current spectrum fees regime. Also, a brief review is made about the main characteristics of the proposal that the Colombian government has built to adapt and adjust this regime to the changing needs of the industry according to best international practices.</w:t>
      </w:r>
    </w:p>
    <w:p w:rsidR="000E5D70" w:rsidRDefault="007327C1" w:rsidP="00AD2D23">
      <w:pPr>
        <w:pStyle w:val="HeadingB"/>
      </w:pPr>
      <w:r>
        <w:t>A)</w:t>
      </w:r>
      <w:r>
        <w:tab/>
      </w:r>
      <w:r w:rsidR="000E5D70">
        <w:t>Overview of the current regime</w:t>
      </w:r>
    </w:p>
    <w:p w:rsidR="000E5D70" w:rsidRPr="00250D23" w:rsidRDefault="000E5D70" w:rsidP="000E5D70">
      <w:pPr>
        <w:rPr>
          <w:szCs w:val="19"/>
          <w:lang w:val="en-US"/>
        </w:rPr>
      </w:pPr>
      <w:r w:rsidRPr="00250D23">
        <w:rPr>
          <w:lang w:val="en-US"/>
        </w:rPr>
        <w:t>The spectrum fees regime for Colombia considers two groups of rules associated with the type of frequency bands, differentiating whether they have been identified for IMT or not.</w:t>
      </w:r>
    </w:p>
    <w:p w:rsidR="000E5D70" w:rsidRPr="00250D23" w:rsidRDefault="000E5D70" w:rsidP="000E5D70">
      <w:pPr>
        <w:rPr>
          <w:szCs w:val="19"/>
          <w:lang w:val="en-US"/>
        </w:rPr>
      </w:pPr>
      <w:r w:rsidRPr="00250D23">
        <w:rPr>
          <w:b/>
          <w:lang w:val="en-US"/>
        </w:rPr>
        <w:t>IMT Bands:</w:t>
      </w:r>
      <w:r w:rsidRPr="00250D23">
        <w:rPr>
          <w:lang w:val="en-US"/>
        </w:rPr>
        <w:t xml:space="preserve"> The rules for the allocation of frequencies and the granting of permits for use of the spectrum in these bands are developed through “objective selection” mechanisms. Auctions are usually used as a market mechanism to fix the value to be paid for the rights to use these frequencies. In this sense, there is </w:t>
      </w:r>
      <w:r w:rsidRPr="00250D23">
        <w:rPr>
          <w:lang w:val="en-US"/>
        </w:rPr>
        <w:lastRenderedPageBreak/>
        <w:t>no specific fee determined for all IMT frequency bands as their valuation is determined whenever the conditions of the assignment process are established.</w:t>
      </w:r>
    </w:p>
    <w:p w:rsidR="000E5D70" w:rsidRPr="00250D23" w:rsidRDefault="000E5D70" w:rsidP="000E5D70">
      <w:pPr>
        <w:rPr>
          <w:szCs w:val="19"/>
          <w:lang w:val="en-US"/>
        </w:rPr>
      </w:pPr>
      <w:r w:rsidRPr="00250D23">
        <w:rPr>
          <w:b/>
          <w:lang w:val="en-US"/>
        </w:rPr>
        <w:t>Other frequency bands:</w:t>
      </w:r>
      <w:r w:rsidRPr="00250D23">
        <w:rPr>
          <w:lang w:val="en-US"/>
        </w:rPr>
        <w:t xml:space="preserve"> The second group corresponds to the bands that have not been identified as IMT bands. Its rules are contained in the current fee regime which it is under review. The main </w:t>
      </w:r>
      <w:r w:rsidRPr="00250D23">
        <w:rPr>
          <w:szCs w:val="19"/>
          <w:lang w:val="en-US"/>
        </w:rPr>
        <w:t>characteristics of this regime are:</w:t>
      </w:r>
    </w:p>
    <w:p w:rsidR="000E5D70" w:rsidRPr="00CC04AE" w:rsidRDefault="007327C1" w:rsidP="007327C1">
      <w:pPr>
        <w:pStyle w:val="Enumlevel1"/>
      </w:pPr>
      <w:r>
        <w:t>a)</w:t>
      </w:r>
      <w:r>
        <w:tab/>
      </w:r>
      <w:r w:rsidR="000E5D70" w:rsidRPr="00CC04AE">
        <w:t>Spectrum fees are determined through an algorithm that takes into account a number of variables that describe the characteristics of the services associated to the spectrum licence.</w:t>
      </w:r>
    </w:p>
    <w:p w:rsidR="000E5D70" w:rsidRPr="00CC04AE" w:rsidRDefault="007327C1" w:rsidP="007327C1">
      <w:pPr>
        <w:pStyle w:val="Enumlevel1"/>
      </w:pPr>
      <w:r>
        <w:t>b)</w:t>
      </w:r>
      <w:r>
        <w:tab/>
      </w:r>
      <w:r w:rsidR="000E5D70" w:rsidRPr="00CC04AE">
        <w:t>The calculation formulas have been defined based on different criteria such as: the frequency band, the type of link and/or the type of service. Therefore, the current rules have four different algorithms for the calculation of the spectrum fees:</w:t>
      </w:r>
    </w:p>
    <w:p w:rsidR="000E5D70" w:rsidRPr="00CC04AE" w:rsidRDefault="007327C1" w:rsidP="007327C1">
      <w:pPr>
        <w:pStyle w:val="Enumlevel2"/>
      </w:pPr>
      <w:r>
        <w:t>a)</w:t>
      </w:r>
      <w:r>
        <w:tab/>
      </w:r>
      <w:r w:rsidR="000E5D70" w:rsidRPr="00CC04AE">
        <w:t>Spectrum in the</w:t>
      </w:r>
      <w:r w:rsidR="000E5D70" w:rsidRPr="00CC04AE">
        <w:rPr>
          <w:b/>
        </w:rPr>
        <w:t xml:space="preserve"> HF band</w:t>
      </w:r>
    </w:p>
    <w:p w:rsidR="000E5D70" w:rsidRPr="00CC04AE" w:rsidRDefault="007327C1" w:rsidP="007327C1">
      <w:pPr>
        <w:pStyle w:val="Enumlevel2"/>
      </w:pPr>
      <w:r>
        <w:t>b)</w:t>
      </w:r>
      <w:r>
        <w:tab/>
      </w:r>
      <w:r w:rsidR="000E5D70" w:rsidRPr="00CC04AE">
        <w:t xml:space="preserve">Algorithm for </w:t>
      </w:r>
      <w:r w:rsidR="000E5D70" w:rsidRPr="00CC04AE">
        <w:rPr>
          <w:b/>
        </w:rPr>
        <w:t>Point to Point</w:t>
      </w:r>
      <w:r w:rsidR="000E5D70" w:rsidRPr="00CC04AE">
        <w:t xml:space="preserve"> (Microwave) links - Algorithm for </w:t>
      </w:r>
      <w:r w:rsidR="000E5D70" w:rsidRPr="00CC04AE">
        <w:rPr>
          <w:b/>
        </w:rPr>
        <w:t>Point to Multipoint</w:t>
      </w:r>
      <w:r w:rsidR="000E5D70" w:rsidRPr="00CC04AE">
        <w:t xml:space="preserve"> services</w:t>
      </w:r>
    </w:p>
    <w:p w:rsidR="000E5D70" w:rsidRPr="00CC04AE" w:rsidRDefault="007327C1" w:rsidP="007327C1">
      <w:pPr>
        <w:pStyle w:val="Enumlevel2"/>
      </w:pPr>
      <w:r w:rsidRPr="007327C1">
        <w:rPr>
          <w:bCs/>
        </w:rPr>
        <w:t>c)</w:t>
      </w:r>
      <w:r>
        <w:rPr>
          <w:b/>
        </w:rPr>
        <w:tab/>
      </w:r>
      <w:r w:rsidR="000E5D70" w:rsidRPr="00CC04AE">
        <w:rPr>
          <w:b/>
        </w:rPr>
        <w:t>Satellite segments</w:t>
      </w:r>
      <w:r w:rsidR="000E5D70" w:rsidRPr="00CC04AE">
        <w:t>.</w:t>
      </w:r>
    </w:p>
    <w:p w:rsidR="000E5D70" w:rsidRPr="00CC04AE" w:rsidRDefault="007327C1" w:rsidP="007327C1">
      <w:pPr>
        <w:pStyle w:val="Enumlevel1"/>
      </w:pPr>
      <w:r>
        <w:t>c)</w:t>
      </w:r>
      <w:r>
        <w:tab/>
      </w:r>
      <w:r w:rsidR="000E5D70" w:rsidRPr="00CC04AE">
        <w:t>The current formulas for the calculation of the spectrum fees for these four categories take into account different technical variables like bandwidth, frequency and coverage. The calculation also includes as a monetary unit the minimum legal wage. This allows to annually update the values according to the behavior of the Colombian economy.</w:t>
      </w:r>
    </w:p>
    <w:p w:rsidR="000E5D70" w:rsidRPr="00CC04AE" w:rsidRDefault="007327C1" w:rsidP="007327C1">
      <w:pPr>
        <w:pStyle w:val="Enumlevel1"/>
      </w:pPr>
      <w:r>
        <w:t>d)</w:t>
      </w:r>
      <w:r>
        <w:tab/>
      </w:r>
      <w:r w:rsidR="000E5D70" w:rsidRPr="00CC04AE">
        <w:t>There is a special and separate regime for broadcasting services which contains its own algorithm for calculation and for different types of existing stations.</w:t>
      </w:r>
    </w:p>
    <w:p w:rsidR="000E5D70" w:rsidRPr="00CC04AE" w:rsidRDefault="007327C1" w:rsidP="00FF4396">
      <w:pPr>
        <w:pStyle w:val="HeadingB"/>
      </w:pPr>
      <w:r>
        <w:t>B)</w:t>
      </w:r>
      <w:r>
        <w:tab/>
      </w:r>
      <w:r w:rsidR="000E5D70" w:rsidRPr="00CC04AE">
        <w:t>Description of the proposed regime</w:t>
      </w:r>
    </w:p>
    <w:p w:rsidR="000E5D70" w:rsidRPr="00250D23" w:rsidRDefault="000E5D70" w:rsidP="000E5D70">
      <w:pPr>
        <w:rPr>
          <w:szCs w:val="19"/>
          <w:lang w:val="en-US"/>
        </w:rPr>
      </w:pPr>
      <w:r w:rsidRPr="00250D23">
        <w:rPr>
          <w:szCs w:val="19"/>
          <w:lang w:val="en-US"/>
        </w:rPr>
        <w:t>The following segment describes the principles and attributes for the proposed regime, its objectives and the different variables or parameters that are being considered in order to estimate the fees associated to</w:t>
      </w:r>
      <w:r w:rsidRPr="00250D23">
        <w:rPr>
          <w:lang w:val="en-US"/>
        </w:rPr>
        <w:t xml:space="preserve"> the use of radio spectrum and the mathematical expressions for calculations of the spectrum fees for multiple types of services or applications.</w:t>
      </w:r>
    </w:p>
    <w:p w:rsidR="000E5D70" w:rsidRDefault="007327C1" w:rsidP="00FF4396">
      <w:pPr>
        <w:pStyle w:val="HeadingB"/>
      </w:pPr>
      <w:r>
        <w:t>1.</w:t>
      </w:r>
      <w:r>
        <w:tab/>
      </w:r>
      <w:r w:rsidR="000E5D70">
        <w:t>Principles and attributes</w:t>
      </w:r>
    </w:p>
    <w:p w:rsidR="000E5D70" w:rsidRPr="007327C1" w:rsidRDefault="007327C1" w:rsidP="007327C1">
      <w:pPr>
        <w:pStyle w:val="Enumlevel1"/>
        <w:rPr>
          <w:b/>
          <w:bCs/>
          <w:szCs w:val="19"/>
        </w:rPr>
      </w:pPr>
      <w:r w:rsidRPr="007327C1">
        <w:rPr>
          <w:rFonts w:ascii="Times New Roman" w:hAnsi="Times New Roman"/>
          <w:b/>
          <w:bCs/>
        </w:rPr>
        <w:t>•</w:t>
      </w:r>
      <w:r w:rsidRPr="007327C1">
        <w:rPr>
          <w:b/>
          <w:bCs/>
        </w:rPr>
        <w:tab/>
      </w:r>
      <w:r w:rsidR="000E5D70" w:rsidRPr="007327C1">
        <w:rPr>
          <w:b/>
          <w:bCs/>
        </w:rPr>
        <w:t>Principles and general attributes:</w:t>
      </w:r>
    </w:p>
    <w:p w:rsidR="000E5D70" w:rsidRPr="007327C1" w:rsidRDefault="007327C1" w:rsidP="007327C1">
      <w:pPr>
        <w:pStyle w:val="Enumlevel2"/>
        <w:rPr>
          <w:b/>
          <w:szCs w:val="19"/>
        </w:rPr>
      </w:pPr>
      <w:r w:rsidRPr="007327C1">
        <w:rPr>
          <w:rFonts w:ascii="Times New Roman" w:hAnsi="Times New Roman" w:cs="Times New Roman"/>
          <w:i/>
          <w:iCs/>
        </w:rPr>
        <w:t>•</w:t>
      </w:r>
      <w:r w:rsidRPr="007327C1">
        <w:rPr>
          <w:i/>
          <w:iCs/>
        </w:rPr>
        <w:tab/>
      </w:r>
      <w:r w:rsidR="000E5D70" w:rsidRPr="007327C1">
        <w:rPr>
          <w:i/>
          <w:iCs/>
        </w:rPr>
        <w:t>Equity in access and use of spectrum</w:t>
      </w:r>
      <w:r w:rsidR="000E5D70" w:rsidRPr="007327C1">
        <w:t>: Every interested party has an equal opportunity of having have access to spectrum.</w:t>
      </w:r>
    </w:p>
    <w:p w:rsidR="000E5D70" w:rsidRPr="007327C1" w:rsidRDefault="007327C1" w:rsidP="007327C1">
      <w:pPr>
        <w:pStyle w:val="Enumlevel2"/>
        <w:rPr>
          <w:szCs w:val="19"/>
        </w:rPr>
      </w:pPr>
      <w:r w:rsidRPr="007327C1">
        <w:rPr>
          <w:rFonts w:ascii="Times New Roman" w:hAnsi="Times New Roman" w:cs="Times New Roman"/>
          <w:i/>
          <w:iCs/>
        </w:rPr>
        <w:t>•</w:t>
      </w:r>
      <w:r w:rsidRPr="007327C1">
        <w:rPr>
          <w:i/>
          <w:iCs/>
        </w:rPr>
        <w:tab/>
      </w:r>
      <w:r w:rsidR="000E5D70" w:rsidRPr="007327C1">
        <w:rPr>
          <w:i/>
          <w:iCs/>
        </w:rPr>
        <w:t>Predictability</w:t>
      </w:r>
      <w:r w:rsidR="000E5D70" w:rsidRPr="007327C1">
        <w:t>: Allows users of the spectrum to identify in advance the obligations that entail the right to use the resource, especially the financial obligations, in order to ensure legal stability.</w:t>
      </w:r>
    </w:p>
    <w:p w:rsidR="000E5D70" w:rsidRPr="007327C1" w:rsidRDefault="007327C1" w:rsidP="007327C1">
      <w:pPr>
        <w:pStyle w:val="Enumlevel2"/>
        <w:rPr>
          <w:szCs w:val="19"/>
        </w:rPr>
      </w:pPr>
      <w:r w:rsidRPr="007327C1">
        <w:rPr>
          <w:rFonts w:ascii="Times New Roman" w:hAnsi="Times New Roman" w:cs="Times New Roman"/>
          <w:i/>
          <w:iCs/>
        </w:rPr>
        <w:t>•</w:t>
      </w:r>
      <w:r w:rsidRPr="007327C1">
        <w:rPr>
          <w:i/>
          <w:iCs/>
        </w:rPr>
        <w:tab/>
      </w:r>
      <w:r w:rsidR="000E5D70" w:rsidRPr="007327C1">
        <w:rPr>
          <w:i/>
          <w:iCs/>
        </w:rPr>
        <w:t>Transparency</w:t>
      </w:r>
      <w:r w:rsidR="000E5D70" w:rsidRPr="007327C1">
        <w:t>: Allows to all spectrum users (current and potential) to know information related to their rights, obligations, and conditions to have access to the resource. The transparency deals with the simplicity of the rules to establish the fees and of the processes for spectrum fee payment.</w:t>
      </w:r>
    </w:p>
    <w:p w:rsidR="000E5D70" w:rsidRPr="007327C1" w:rsidRDefault="007327C1" w:rsidP="007327C1">
      <w:pPr>
        <w:pStyle w:val="Enumlevel2"/>
        <w:rPr>
          <w:szCs w:val="19"/>
        </w:rPr>
      </w:pPr>
      <w:r w:rsidRPr="007327C1">
        <w:rPr>
          <w:rFonts w:ascii="Times New Roman" w:hAnsi="Times New Roman" w:cs="Times New Roman"/>
          <w:i/>
          <w:iCs/>
        </w:rPr>
        <w:t>•</w:t>
      </w:r>
      <w:r w:rsidRPr="007327C1">
        <w:rPr>
          <w:i/>
          <w:iCs/>
        </w:rPr>
        <w:tab/>
      </w:r>
      <w:r w:rsidR="000E5D70" w:rsidRPr="007327C1">
        <w:rPr>
          <w:i/>
          <w:iCs/>
        </w:rPr>
        <w:t>Coherence</w:t>
      </w:r>
      <w:r w:rsidR="000E5D70" w:rsidRPr="007327C1">
        <w:t>: An intrinsic relationship between the regime and the policy objectives established for the use of the spectrum must exist.</w:t>
      </w:r>
    </w:p>
    <w:p w:rsidR="000E5D70" w:rsidRPr="007327C1" w:rsidRDefault="007327C1" w:rsidP="007327C1">
      <w:pPr>
        <w:pStyle w:val="Enumlevel1"/>
        <w:rPr>
          <w:b/>
          <w:bCs/>
        </w:rPr>
      </w:pPr>
      <w:r w:rsidRPr="007327C1">
        <w:rPr>
          <w:rFonts w:ascii="Times New Roman" w:hAnsi="Times New Roman" w:cs="Times New Roman"/>
          <w:i/>
          <w:iCs/>
        </w:rPr>
        <w:t>•</w:t>
      </w:r>
      <w:r>
        <w:rPr>
          <w:rFonts w:ascii="Times New Roman" w:hAnsi="Times New Roman" w:cs="Times New Roman"/>
          <w:i/>
          <w:iCs/>
        </w:rPr>
        <w:tab/>
      </w:r>
      <w:r w:rsidR="000E5D70" w:rsidRPr="007327C1">
        <w:rPr>
          <w:b/>
          <w:bCs/>
        </w:rPr>
        <w:t>Economic, technical and practical principles and attributes:</w:t>
      </w:r>
    </w:p>
    <w:p w:rsidR="000E5D70" w:rsidRPr="007327C1" w:rsidRDefault="007327C1" w:rsidP="007327C1">
      <w:pPr>
        <w:pStyle w:val="Enumlevel2"/>
        <w:rPr>
          <w:szCs w:val="19"/>
        </w:rPr>
      </w:pPr>
      <w:r w:rsidRPr="007327C1">
        <w:rPr>
          <w:rFonts w:ascii="Times New Roman" w:hAnsi="Times New Roman" w:cs="Times New Roman"/>
          <w:i/>
          <w:iCs/>
        </w:rPr>
        <w:t>•</w:t>
      </w:r>
      <w:r w:rsidRPr="007327C1">
        <w:rPr>
          <w:i/>
          <w:iCs/>
        </w:rPr>
        <w:tab/>
      </w:r>
      <w:r w:rsidR="000E5D70" w:rsidRPr="007327C1">
        <w:rPr>
          <w:i/>
          <w:iCs/>
        </w:rPr>
        <w:t>Charging a fee for the use of the spectrum</w:t>
      </w:r>
      <w:r w:rsidR="000E5D70" w:rsidRPr="007327C1">
        <w:t>: The fee must recognize not only the cost incurred by the regulator for its spectrum management activities, but also reflect the value given to the different frequency bands on which the operator will have the right of use.</w:t>
      </w:r>
      <w:r w:rsidR="000E5D70" w:rsidRPr="007327C1">
        <w:rPr>
          <w:szCs w:val="19"/>
        </w:rPr>
        <w:t>.</w:t>
      </w:r>
    </w:p>
    <w:p w:rsidR="000E5D70" w:rsidRPr="007327C1" w:rsidRDefault="007327C1" w:rsidP="007327C1">
      <w:pPr>
        <w:pStyle w:val="Enumlevel2"/>
        <w:rPr>
          <w:i/>
          <w:szCs w:val="19"/>
        </w:rPr>
      </w:pPr>
      <w:r w:rsidRPr="007327C1">
        <w:rPr>
          <w:rFonts w:ascii="Times New Roman" w:hAnsi="Times New Roman" w:cs="Times New Roman"/>
          <w:i/>
          <w:iCs/>
        </w:rPr>
        <w:t>•</w:t>
      </w:r>
      <w:r w:rsidRPr="007327C1">
        <w:rPr>
          <w:i/>
          <w:iCs/>
        </w:rPr>
        <w:tab/>
      </w:r>
      <w:r w:rsidR="000E5D70" w:rsidRPr="007327C1">
        <w:rPr>
          <w:i/>
          <w:iCs/>
        </w:rPr>
        <w:t>Technology neutrality</w:t>
      </w:r>
      <w:r w:rsidR="000E5D70" w:rsidRPr="007327C1">
        <w:rPr>
          <w:b/>
        </w:rPr>
        <w:t>:</w:t>
      </w:r>
      <w:r w:rsidR="000E5D70" w:rsidRPr="007327C1">
        <w:t xml:space="preserve"> The objective is to ensure free technology adoption and to promote the efficiency in the use of spectrum and to ensure free and fair market competition.</w:t>
      </w:r>
    </w:p>
    <w:p w:rsidR="000E5D70" w:rsidRPr="007327C1" w:rsidRDefault="007327C1" w:rsidP="007327C1">
      <w:pPr>
        <w:pStyle w:val="Enumlevel2"/>
        <w:rPr>
          <w:i/>
          <w:szCs w:val="19"/>
        </w:rPr>
      </w:pPr>
      <w:r w:rsidRPr="007327C1">
        <w:rPr>
          <w:rFonts w:ascii="Times New Roman" w:hAnsi="Times New Roman" w:cs="Times New Roman"/>
          <w:i/>
          <w:iCs/>
        </w:rPr>
        <w:lastRenderedPageBreak/>
        <w:t>•</w:t>
      </w:r>
      <w:r w:rsidRPr="007327C1">
        <w:rPr>
          <w:i/>
          <w:iCs/>
        </w:rPr>
        <w:tab/>
      </w:r>
      <w:r w:rsidR="000E5D70" w:rsidRPr="007327C1">
        <w:rPr>
          <w:i/>
          <w:iCs/>
        </w:rPr>
        <w:t>Simplicity</w:t>
      </w:r>
      <w:r w:rsidR="000E5D70" w:rsidRPr="007327C1">
        <w:t>: The State, as the administrator of spectrum, should ensure the definition of simple formulas for easy application and the settlement of the processes, verification and collection that allows a better understanding of the fees.</w:t>
      </w:r>
    </w:p>
    <w:p w:rsidR="000E5D70" w:rsidRPr="00CC04AE" w:rsidRDefault="007327C1" w:rsidP="007327C1">
      <w:pPr>
        <w:pStyle w:val="Enumlevel2"/>
        <w:rPr>
          <w:szCs w:val="19"/>
        </w:rPr>
      </w:pPr>
      <w:r w:rsidRPr="007327C1">
        <w:rPr>
          <w:rFonts w:ascii="Times New Roman" w:hAnsi="Times New Roman" w:cs="Times New Roman"/>
          <w:i/>
          <w:iCs/>
        </w:rPr>
        <w:t>•</w:t>
      </w:r>
      <w:r w:rsidRPr="007327C1">
        <w:rPr>
          <w:i/>
          <w:iCs/>
        </w:rPr>
        <w:tab/>
      </w:r>
      <w:r w:rsidR="000E5D70" w:rsidRPr="007327C1">
        <w:rPr>
          <w:i/>
          <w:iCs/>
        </w:rPr>
        <w:t>Visibility and the possibility of making an effective control</w:t>
      </w:r>
      <w:r w:rsidR="000E5D70" w:rsidRPr="007327C1">
        <w:t>: This principle considers the need for incorporating and implementing</w:t>
      </w:r>
      <w:r w:rsidR="000E5D70" w:rsidRPr="00CC04AE">
        <w:t xml:space="preserve"> mechanisms and tools that enable the effective control and monitoring of the regime.</w:t>
      </w:r>
    </w:p>
    <w:p w:rsidR="000E5D70" w:rsidRDefault="00526F93" w:rsidP="00FF4396">
      <w:pPr>
        <w:pStyle w:val="HeadingB"/>
      </w:pPr>
      <w:r>
        <w:t>2</w:t>
      </w:r>
      <w:r w:rsidR="00FF4396">
        <w:t>.</w:t>
      </w:r>
      <w:r>
        <w:tab/>
      </w:r>
      <w:r w:rsidR="000E5D70">
        <w:t>Objectives</w:t>
      </w:r>
    </w:p>
    <w:p w:rsidR="000E5D70" w:rsidRPr="00CC04AE" w:rsidRDefault="00526F93" w:rsidP="00526F93">
      <w:pPr>
        <w:pStyle w:val="Enumlevel1"/>
        <w:rPr>
          <w:b/>
          <w:szCs w:val="19"/>
        </w:rPr>
      </w:pPr>
      <w:r>
        <w:t>1)</w:t>
      </w:r>
      <w:r>
        <w:tab/>
      </w:r>
      <w:r w:rsidR="000E5D70" w:rsidRPr="00CC04AE">
        <w:t>Efficient use of the radio spectrum</w:t>
      </w:r>
      <w:r w:rsidR="000E5D70" w:rsidRPr="00CC04AE">
        <w:rPr>
          <w:szCs w:val="19"/>
        </w:rPr>
        <w:t xml:space="preserve">. </w:t>
      </w:r>
      <w:r w:rsidR="000E5D70" w:rsidRPr="00CC04AE">
        <w:t>This is the main objective of the proposed regime. Therefore, the proposal has included various criteria in order to implement it. Among them the following are the most important guidelines used for the definition of conditions for establishing spectrum fees:</w:t>
      </w:r>
    </w:p>
    <w:p w:rsidR="000E5D70" w:rsidRPr="00CC04AE" w:rsidRDefault="00526F93" w:rsidP="00526F93">
      <w:pPr>
        <w:pStyle w:val="Enumlevel2"/>
        <w:rPr>
          <w:szCs w:val="19"/>
        </w:rPr>
      </w:pPr>
      <w:r w:rsidRPr="007327C1">
        <w:rPr>
          <w:rFonts w:ascii="Times New Roman" w:hAnsi="Times New Roman" w:cs="Times New Roman"/>
          <w:i/>
          <w:iCs/>
        </w:rPr>
        <w:t>•</w:t>
      </w:r>
      <w:r w:rsidRPr="007327C1">
        <w:rPr>
          <w:i/>
          <w:iCs/>
        </w:rPr>
        <w:tab/>
      </w:r>
      <w:r w:rsidR="000E5D70" w:rsidRPr="00CC04AE">
        <w:t>To promote efficiency of use and scale</w:t>
      </w:r>
      <w:r w:rsidR="000E5D70" w:rsidRPr="00CC04AE">
        <w:rPr>
          <w:szCs w:val="19"/>
        </w:rPr>
        <w:t>;</w:t>
      </w:r>
    </w:p>
    <w:p w:rsidR="000E5D70" w:rsidRPr="00CC04AE" w:rsidRDefault="00526F93" w:rsidP="00526F93">
      <w:pPr>
        <w:pStyle w:val="Enumlevel2"/>
        <w:rPr>
          <w:szCs w:val="19"/>
        </w:rPr>
      </w:pPr>
      <w:r w:rsidRPr="007327C1">
        <w:rPr>
          <w:rFonts w:ascii="Times New Roman" w:hAnsi="Times New Roman" w:cs="Times New Roman"/>
          <w:i/>
          <w:iCs/>
        </w:rPr>
        <w:t>•</w:t>
      </w:r>
      <w:r w:rsidRPr="007327C1">
        <w:rPr>
          <w:i/>
          <w:iCs/>
        </w:rPr>
        <w:tab/>
      </w:r>
      <w:r w:rsidR="000E5D70" w:rsidRPr="00CC04AE">
        <w:t>To promote return of underused frequencies by providing clear mechanisms to be used by users</w:t>
      </w:r>
      <w:r w:rsidR="000E5D70" w:rsidRPr="00CC04AE">
        <w:rPr>
          <w:szCs w:val="19"/>
        </w:rPr>
        <w:t>;</w:t>
      </w:r>
    </w:p>
    <w:p w:rsidR="000E5D70" w:rsidRPr="00CC04AE" w:rsidRDefault="00526F93" w:rsidP="00526F93">
      <w:pPr>
        <w:pStyle w:val="Enumlevel2"/>
        <w:rPr>
          <w:szCs w:val="19"/>
        </w:rPr>
      </w:pPr>
      <w:r w:rsidRPr="007327C1">
        <w:rPr>
          <w:rFonts w:ascii="Times New Roman" w:hAnsi="Times New Roman" w:cs="Times New Roman"/>
          <w:i/>
          <w:iCs/>
        </w:rPr>
        <w:t>•</w:t>
      </w:r>
      <w:r w:rsidRPr="007327C1">
        <w:rPr>
          <w:i/>
          <w:iCs/>
        </w:rPr>
        <w:tab/>
      </w:r>
      <w:r w:rsidR="000E5D70" w:rsidRPr="00CC04AE">
        <w:t>To encourage migration to frequencies which have less congestion, by introducing a congestion factor depending on variables such as the geographic location, and availability of frequencies among others</w:t>
      </w:r>
      <w:r w:rsidR="000E5D70" w:rsidRPr="00CC04AE">
        <w:rPr>
          <w:szCs w:val="19"/>
        </w:rPr>
        <w:t>;</w:t>
      </w:r>
    </w:p>
    <w:p w:rsidR="000E5D70" w:rsidRDefault="000E5D70" w:rsidP="00526F93">
      <w:pPr>
        <w:pStyle w:val="Enumlevel1"/>
        <w:rPr>
          <w:szCs w:val="19"/>
        </w:rPr>
      </w:pPr>
      <w:r>
        <w:rPr>
          <w:bCs/>
          <w:szCs w:val="19"/>
        </w:rPr>
        <w:t>2)</w:t>
      </w:r>
      <w:r>
        <w:rPr>
          <w:b/>
          <w:szCs w:val="19"/>
        </w:rPr>
        <w:tab/>
      </w:r>
      <w:r>
        <w:t>Contributing to finance social plans in order to promote massive use of telecommunications services (broadband, mobile, etc.).</w:t>
      </w:r>
    </w:p>
    <w:p w:rsidR="000E5D70" w:rsidRDefault="000E5D70" w:rsidP="00526F93">
      <w:pPr>
        <w:pStyle w:val="Enumlevel1"/>
        <w:rPr>
          <w:szCs w:val="19"/>
        </w:rPr>
      </w:pPr>
      <w:r>
        <w:rPr>
          <w:bCs/>
          <w:szCs w:val="19"/>
        </w:rPr>
        <w:t>3)</w:t>
      </w:r>
      <w:r>
        <w:rPr>
          <w:b/>
          <w:szCs w:val="19"/>
        </w:rPr>
        <w:tab/>
      </w:r>
      <w:r>
        <w:t>To compensate the costs of the spectrum management</w:t>
      </w:r>
      <w:r>
        <w:rPr>
          <w:b/>
          <w:szCs w:val="19"/>
        </w:rPr>
        <w:t>.</w:t>
      </w:r>
    </w:p>
    <w:p w:rsidR="000E5D70" w:rsidRPr="00CC04AE" w:rsidRDefault="00526F93" w:rsidP="00FF4396">
      <w:pPr>
        <w:pStyle w:val="HeadingB"/>
        <w:rPr>
          <w:szCs w:val="19"/>
        </w:rPr>
      </w:pPr>
      <w:r w:rsidRPr="00FF4396">
        <w:t>C)</w:t>
      </w:r>
      <w:r w:rsidRPr="00FF4396">
        <w:tab/>
      </w:r>
      <w:r w:rsidR="000E5D70" w:rsidRPr="00FF4396">
        <w:t>Algorithms of calculation in the proposal:</w:t>
      </w:r>
      <w:r w:rsidRPr="00FF4396">
        <w:t xml:space="preserve"> </w:t>
      </w:r>
      <w:r w:rsidR="000E5D70" w:rsidRPr="00FF4396">
        <w:rPr>
          <w:b w:val="0"/>
          <w:bCs w:val="0"/>
        </w:rPr>
        <w:t>It Includes only those algorithms that will change:</w:t>
      </w:r>
    </w:p>
    <w:p w:rsidR="000E5D70" w:rsidRDefault="00526F93" w:rsidP="00526F93">
      <w:pPr>
        <w:pStyle w:val="Enumlevel1"/>
        <w:rPr>
          <w:szCs w:val="19"/>
        </w:rPr>
      </w:pPr>
      <w:r>
        <w:tab/>
      </w:r>
      <w:r>
        <w:rPr>
          <w:rFonts w:ascii="Times New Roman" w:hAnsi="Times New Roman" w:cs="Times New Roman"/>
        </w:rPr>
        <w:t>•</w:t>
      </w:r>
      <w:r>
        <w:tab/>
      </w:r>
      <w:r w:rsidR="000E5D70">
        <w:t>Point to Point Links</w:t>
      </w:r>
      <w:r w:rsidR="000E5D70">
        <w:rPr>
          <w:szCs w:val="19"/>
        </w:rPr>
        <w:t>:</w:t>
      </w:r>
    </w:p>
    <w:p w:rsidR="000E5D70" w:rsidRPr="00FF4396" w:rsidRDefault="00FF4396" w:rsidP="00FF4396">
      <w:pPr>
        <w:rPr>
          <w:rFonts w:asciiTheme="majorHAnsi" w:hAnsiTheme="majorHAnsi" w:cstheme="majorBidi"/>
        </w:rPr>
      </w:pPr>
      <m:oMathPara>
        <m:oMathParaPr>
          <m:jc m:val="center"/>
        </m:oMathParaPr>
        <m:oMath>
          <m:r>
            <w:rPr>
              <w:rFonts w:ascii="Cambria Math" w:hAnsi="Cambria Math" w:cstheme="majorBidi"/>
            </w:rPr>
            <m:t>VAC</m:t>
          </m:r>
          <m:r>
            <m:rPr>
              <m:sty m:val="p"/>
            </m:rPr>
            <w:rPr>
              <w:rFonts w:ascii="Cambria Math" w:hAnsiTheme="majorHAnsi" w:cstheme="majorBidi"/>
            </w:rPr>
            <m:t>=</m:t>
          </m:r>
          <m:r>
            <w:rPr>
              <w:rFonts w:ascii="Cambria Math" w:hAnsi="Cambria Math" w:cstheme="majorBidi"/>
            </w:rPr>
            <m:t>AB</m:t>
          </m:r>
          <m:r>
            <m:rPr>
              <m:sty m:val="p"/>
            </m:rPr>
            <w:rPr>
              <w:rFonts w:ascii="Cambria Math" w:hAnsiTheme="majorHAnsi" w:cstheme="majorBidi"/>
            </w:rPr>
            <m:t xml:space="preserve"> </m:t>
          </m:r>
          <m:r>
            <w:rPr>
              <w:rFonts w:ascii="Cambria Math" w:hAnsi="Cambria Math" w:cstheme="majorBidi"/>
            </w:rPr>
            <m:t>x</m:t>
          </m:r>
          <m:r>
            <m:rPr>
              <m:sty m:val="p"/>
            </m:rPr>
            <w:rPr>
              <w:rFonts w:ascii="Cambria Math" w:hAnsiTheme="majorHAnsi" w:cstheme="majorBidi"/>
            </w:rPr>
            <m:t xml:space="preserve"> </m:t>
          </m:r>
          <m:r>
            <w:rPr>
              <w:rFonts w:ascii="Cambria Math" w:hAnsi="Cambria Math" w:cstheme="majorBidi"/>
            </w:rPr>
            <m:t>Fv</m:t>
          </m:r>
          <m:r>
            <m:rPr>
              <m:sty m:val="p"/>
            </m:rPr>
            <w:rPr>
              <w:rFonts w:ascii="Cambria Math" w:hAnsiTheme="majorHAnsi" w:cstheme="majorBidi"/>
            </w:rPr>
            <m:t xml:space="preserve"> </m:t>
          </m:r>
          <m:r>
            <w:rPr>
              <w:rFonts w:ascii="Cambria Math" w:hAnsi="Cambria Math" w:cstheme="majorBidi"/>
            </w:rPr>
            <m:t>x</m:t>
          </m:r>
          <m:r>
            <m:rPr>
              <m:sty m:val="p"/>
            </m:rPr>
            <w:rPr>
              <w:rFonts w:ascii="Cambria Math" w:hAnsiTheme="majorHAnsi" w:cstheme="majorBidi"/>
            </w:rPr>
            <m:t xml:space="preserve"> </m:t>
          </m:r>
          <m:r>
            <w:rPr>
              <w:rFonts w:ascii="Cambria Math" w:hAnsi="Cambria Math" w:cstheme="majorBidi"/>
            </w:rPr>
            <m:t>Fc</m:t>
          </m:r>
          <m:r>
            <m:rPr>
              <m:sty m:val="p"/>
            </m:rPr>
            <w:rPr>
              <w:rFonts w:ascii="Cambria Math" w:hAnsiTheme="majorHAnsi" w:cstheme="majorBidi"/>
            </w:rPr>
            <m:t xml:space="preserve"> </m:t>
          </m:r>
          <m:r>
            <w:rPr>
              <w:rFonts w:ascii="Cambria Math" w:hAnsi="Cambria Math" w:cstheme="majorBidi"/>
            </w:rPr>
            <m:t>x</m:t>
          </m:r>
          <m:r>
            <m:rPr>
              <m:sty m:val="p"/>
            </m:rPr>
            <w:rPr>
              <w:rFonts w:ascii="Cambria Math" w:hAnsiTheme="majorHAnsi" w:cstheme="majorBidi"/>
            </w:rPr>
            <m:t xml:space="preserve"> </m:t>
          </m:r>
          <m:r>
            <w:rPr>
              <w:rFonts w:ascii="Cambria Math" w:hAnsi="Cambria Math" w:cstheme="majorBidi"/>
            </w:rPr>
            <m:t>SMMLV</m:t>
          </m:r>
        </m:oMath>
      </m:oMathPara>
    </w:p>
    <w:p w:rsidR="000E5D70" w:rsidRDefault="000E5D70" w:rsidP="00526F93">
      <w:pPr>
        <w:pStyle w:val="Enumlevel2"/>
        <w:rPr>
          <w:szCs w:val="19"/>
        </w:rPr>
      </w:pPr>
      <w:r>
        <w:tab/>
        <w:t>Where</w:t>
      </w:r>
      <w:r>
        <w:rPr>
          <w:szCs w:val="19"/>
        </w:rPr>
        <w:t>:</w:t>
      </w:r>
    </w:p>
    <w:p w:rsidR="000E5D70" w:rsidRDefault="000E5D70" w:rsidP="00526F93">
      <w:pPr>
        <w:pStyle w:val="Enumlevel2"/>
        <w:rPr>
          <w:szCs w:val="19"/>
        </w:rPr>
      </w:pPr>
      <w:r>
        <w:rPr>
          <w:b/>
          <w:szCs w:val="19"/>
        </w:rPr>
        <w:tab/>
        <w:t>AB</w:t>
      </w:r>
      <w:r>
        <w:rPr>
          <w:szCs w:val="19"/>
        </w:rPr>
        <w:t xml:space="preserve">: </w:t>
      </w:r>
      <w:r>
        <w:t>Bandwidth</w:t>
      </w:r>
    </w:p>
    <w:p w:rsidR="000E5D70" w:rsidRDefault="000E5D70" w:rsidP="00526F93">
      <w:pPr>
        <w:pStyle w:val="Enumlevel2"/>
        <w:rPr>
          <w:szCs w:val="19"/>
        </w:rPr>
      </w:pPr>
      <w:r>
        <w:rPr>
          <w:b/>
          <w:szCs w:val="19"/>
        </w:rPr>
        <w:tab/>
        <w:t>Fv</w:t>
      </w:r>
      <w:r>
        <w:rPr>
          <w:szCs w:val="19"/>
        </w:rPr>
        <w:t xml:space="preserve">: </w:t>
      </w:r>
      <w:r>
        <w:t>Factor to evaluate the frequency</w:t>
      </w:r>
    </w:p>
    <w:p w:rsidR="000E5D70" w:rsidRDefault="000E5D70" w:rsidP="00526F93">
      <w:pPr>
        <w:pStyle w:val="Enumlevel2"/>
        <w:rPr>
          <w:szCs w:val="19"/>
        </w:rPr>
      </w:pPr>
      <w:r>
        <w:rPr>
          <w:b/>
          <w:szCs w:val="19"/>
        </w:rPr>
        <w:tab/>
        <w:t>Fc</w:t>
      </w:r>
      <w:r>
        <w:rPr>
          <w:szCs w:val="19"/>
        </w:rPr>
        <w:t xml:space="preserve">: </w:t>
      </w:r>
      <w:r>
        <w:t>Congestion factor</w:t>
      </w:r>
    </w:p>
    <w:p w:rsidR="000E5D70" w:rsidRDefault="000E5D70" w:rsidP="00526F93">
      <w:pPr>
        <w:pStyle w:val="Enumlevel2"/>
        <w:rPr>
          <w:b/>
          <w:szCs w:val="19"/>
        </w:rPr>
      </w:pPr>
      <w:r>
        <w:rPr>
          <w:b/>
          <w:szCs w:val="19"/>
        </w:rPr>
        <w:tab/>
        <w:t>SMMLV</w:t>
      </w:r>
      <w:r>
        <w:rPr>
          <w:szCs w:val="19"/>
        </w:rPr>
        <w:t xml:space="preserve">: </w:t>
      </w:r>
      <w:r>
        <w:t>Monthly Legal Minimum Wage</w:t>
      </w:r>
    </w:p>
    <w:p w:rsidR="000E5D70" w:rsidRPr="00526F93" w:rsidRDefault="00526F93" w:rsidP="00526F93">
      <w:pPr>
        <w:pStyle w:val="Enumlevel1"/>
      </w:pPr>
      <w:r>
        <w:rPr>
          <w:rFonts w:ascii="Times New Roman" w:hAnsi="Times New Roman" w:cs="Times New Roman"/>
        </w:rPr>
        <w:tab/>
        <w:t>•</w:t>
      </w:r>
      <w:r>
        <w:tab/>
      </w:r>
      <w:r w:rsidR="000E5D70" w:rsidRPr="00526F93">
        <w:t>Point – multipoint Links</w:t>
      </w:r>
    </w:p>
    <w:p w:rsidR="000E5D70" w:rsidRPr="00FF4396" w:rsidRDefault="00FF4396" w:rsidP="000E5D70">
      <w:pPr>
        <w:spacing w:before="60" w:after="60"/>
        <w:rPr>
          <w:rFonts w:asciiTheme="minorHAnsi" w:hAnsiTheme="minorHAnsi"/>
          <w:bCs/>
          <w:szCs w:val="19"/>
        </w:rPr>
      </w:pPr>
      <m:oMathPara>
        <m:oMath>
          <m:r>
            <w:rPr>
              <w:rFonts w:ascii="Cambria Math" w:hAnsi="Cambria Math"/>
              <w:szCs w:val="19"/>
            </w:rPr>
            <m:t>VAC</m:t>
          </m:r>
          <m:r>
            <w:rPr>
              <w:rFonts w:ascii="Cambria Math" w:hAnsiTheme="minorHAnsi"/>
              <w:szCs w:val="19"/>
            </w:rPr>
            <m:t>=</m:t>
          </m:r>
          <m:r>
            <w:rPr>
              <w:rFonts w:ascii="Cambria Math" w:hAnsi="Cambria Math"/>
              <w:szCs w:val="19"/>
            </w:rPr>
            <m:t>AB</m:t>
          </m:r>
          <m:r>
            <w:rPr>
              <w:rFonts w:ascii="Cambria Math" w:hAnsiTheme="minorHAnsi"/>
              <w:szCs w:val="19"/>
            </w:rPr>
            <m:t xml:space="preserve"> </m:t>
          </m:r>
          <m:r>
            <w:rPr>
              <w:rFonts w:ascii="Cambria Math" w:hAnsi="Cambria Math"/>
              <w:szCs w:val="19"/>
            </w:rPr>
            <m:t>x</m:t>
          </m:r>
          <m:r>
            <w:rPr>
              <w:rFonts w:ascii="Cambria Math" w:hAnsiTheme="minorHAnsi"/>
              <w:szCs w:val="19"/>
            </w:rPr>
            <m:t xml:space="preserve"> </m:t>
          </m:r>
          <m:r>
            <w:rPr>
              <w:rFonts w:ascii="Cambria Math" w:hAnsi="Cambria Math"/>
              <w:szCs w:val="19"/>
            </w:rPr>
            <m:t>N</m:t>
          </m:r>
          <m:r>
            <w:rPr>
              <w:rFonts w:ascii="Cambria Math" w:hAnsiTheme="minorHAnsi"/>
              <w:szCs w:val="19"/>
            </w:rPr>
            <m:t xml:space="preserve"> </m:t>
          </m:r>
          <m:r>
            <w:rPr>
              <w:rFonts w:ascii="Cambria Math" w:hAnsi="Cambria Math"/>
              <w:szCs w:val="19"/>
            </w:rPr>
            <m:t>x</m:t>
          </m:r>
          <m:r>
            <w:rPr>
              <w:rFonts w:ascii="Cambria Math" w:hAnsiTheme="minorHAnsi"/>
              <w:szCs w:val="19"/>
            </w:rPr>
            <m:t xml:space="preserve"> %</m:t>
          </m:r>
          <m:r>
            <w:rPr>
              <w:rFonts w:ascii="Cambria Math" w:hAnsi="Cambria Math"/>
              <w:szCs w:val="19"/>
            </w:rPr>
            <m:t>Pob</m:t>
          </m:r>
          <m:r>
            <w:rPr>
              <w:rFonts w:ascii="Cambria Math" w:hAnsiTheme="minorHAnsi"/>
              <w:szCs w:val="19"/>
            </w:rPr>
            <m:t xml:space="preserve"> </m:t>
          </m:r>
          <m:r>
            <w:rPr>
              <w:rFonts w:ascii="Cambria Math" w:hAnsi="Cambria Math"/>
              <w:szCs w:val="19"/>
            </w:rPr>
            <m:t>x</m:t>
          </m:r>
          <m:r>
            <w:rPr>
              <w:rFonts w:ascii="Cambria Math" w:hAnsiTheme="minorHAnsi"/>
              <w:szCs w:val="19"/>
            </w:rPr>
            <m:t xml:space="preserve"> </m:t>
          </m:r>
          <m:r>
            <w:rPr>
              <w:rFonts w:ascii="Cambria Math" w:hAnsi="Cambria Math"/>
              <w:szCs w:val="19"/>
            </w:rPr>
            <m:t>Fc</m:t>
          </m:r>
          <m:r>
            <w:rPr>
              <w:rFonts w:ascii="Cambria Math" w:hAnsiTheme="minorHAnsi"/>
              <w:szCs w:val="19"/>
            </w:rPr>
            <m:t xml:space="preserve"> </m:t>
          </m:r>
          <m:r>
            <w:rPr>
              <w:rFonts w:ascii="Cambria Math" w:hAnsi="Cambria Math"/>
              <w:szCs w:val="19"/>
            </w:rPr>
            <m:t>x</m:t>
          </m:r>
          <m:r>
            <w:rPr>
              <w:rFonts w:ascii="Cambria Math" w:hAnsiTheme="minorHAnsi"/>
              <w:szCs w:val="19"/>
            </w:rPr>
            <m:t xml:space="preserve"> </m:t>
          </m:r>
          <m:r>
            <w:rPr>
              <w:rFonts w:ascii="Cambria Math" w:hAnsi="Cambria Math"/>
              <w:szCs w:val="19"/>
            </w:rPr>
            <m:t>SMMLV</m:t>
          </m:r>
        </m:oMath>
      </m:oMathPara>
    </w:p>
    <w:p w:rsidR="000E5D70" w:rsidRPr="00CC04AE" w:rsidRDefault="000E5D70" w:rsidP="00526F93">
      <w:pPr>
        <w:pStyle w:val="Enumlevel2"/>
        <w:rPr>
          <w:szCs w:val="19"/>
        </w:rPr>
      </w:pPr>
      <w:r>
        <w:rPr>
          <w:szCs w:val="19"/>
          <w:lang w:val="es-ES_tradnl"/>
        </w:rPr>
        <w:tab/>
      </w:r>
      <w:r w:rsidRPr="00526F93">
        <w:t>Where</w:t>
      </w:r>
      <w:r w:rsidRPr="00CC04AE">
        <w:rPr>
          <w:szCs w:val="19"/>
        </w:rPr>
        <w:t xml:space="preserve">: </w:t>
      </w:r>
    </w:p>
    <w:p w:rsidR="000E5D70" w:rsidRDefault="000E5D70" w:rsidP="00526F93">
      <w:pPr>
        <w:pStyle w:val="Enumlevel2"/>
        <w:rPr>
          <w:szCs w:val="19"/>
        </w:rPr>
      </w:pPr>
      <w:r w:rsidRPr="00CC04AE">
        <w:rPr>
          <w:b/>
          <w:szCs w:val="19"/>
        </w:rPr>
        <w:tab/>
      </w:r>
      <w:r>
        <w:rPr>
          <w:b/>
          <w:szCs w:val="19"/>
        </w:rPr>
        <w:t>AB</w:t>
      </w:r>
      <w:r>
        <w:rPr>
          <w:szCs w:val="19"/>
        </w:rPr>
        <w:t xml:space="preserve">: </w:t>
      </w:r>
      <w:r>
        <w:t>Bandwidth</w:t>
      </w:r>
    </w:p>
    <w:p w:rsidR="000E5D70" w:rsidRDefault="000E5D70" w:rsidP="00526F93">
      <w:pPr>
        <w:pStyle w:val="Enumlevel2"/>
        <w:rPr>
          <w:szCs w:val="19"/>
        </w:rPr>
      </w:pPr>
      <w:r>
        <w:rPr>
          <w:b/>
          <w:szCs w:val="19"/>
        </w:rPr>
        <w:tab/>
        <w:t>N</w:t>
      </w:r>
      <w:r>
        <w:rPr>
          <w:szCs w:val="19"/>
        </w:rPr>
        <w:t xml:space="preserve">: </w:t>
      </w:r>
      <w:r>
        <w:t>Factor to evaluate the frequency</w:t>
      </w:r>
    </w:p>
    <w:p w:rsidR="000E5D70" w:rsidRDefault="000E5D70" w:rsidP="00526F93">
      <w:pPr>
        <w:pStyle w:val="Enumlevel2"/>
        <w:rPr>
          <w:szCs w:val="19"/>
        </w:rPr>
      </w:pPr>
      <w:r>
        <w:rPr>
          <w:b/>
          <w:szCs w:val="19"/>
        </w:rPr>
        <w:tab/>
        <w:t>%Pob</w:t>
      </w:r>
      <w:r>
        <w:rPr>
          <w:szCs w:val="19"/>
        </w:rPr>
        <w:t xml:space="preserve">: </w:t>
      </w:r>
      <w:r>
        <w:t>Population Percentage calculated as the potential population to cover with the permit compared to the total population</w:t>
      </w:r>
    </w:p>
    <w:p w:rsidR="000E5D70" w:rsidRPr="00CC04AE" w:rsidRDefault="000E5D70" w:rsidP="00526F93">
      <w:pPr>
        <w:pStyle w:val="Enumlevel2"/>
        <w:rPr>
          <w:b/>
          <w:szCs w:val="19"/>
        </w:rPr>
      </w:pPr>
      <w:r>
        <w:rPr>
          <w:b/>
          <w:szCs w:val="19"/>
        </w:rPr>
        <w:tab/>
      </w:r>
      <w:r w:rsidRPr="00CC04AE">
        <w:rPr>
          <w:b/>
          <w:szCs w:val="19"/>
        </w:rPr>
        <w:t xml:space="preserve">Fc: </w:t>
      </w:r>
      <w:r>
        <w:t>Congestion factor</w:t>
      </w:r>
    </w:p>
    <w:p w:rsidR="000E5D70" w:rsidRDefault="000E5D70" w:rsidP="00526F93">
      <w:pPr>
        <w:pStyle w:val="Enumlevel2"/>
        <w:rPr>
          <w:b/>
          <w:szCs w:val="19"/>
        </w:rPr>
      </w:pPr>
      <w:r>
        <w:rPr>
          <w:b/>
          <w:szCs w:val="19"/>
        </w:rPr>
        <w:tab/>
        <w:t>SMMLV</w:t>
      </w:r>
      <w:r>
        <w:rPr>
          <w:szCs w:val="19"/>
        </w:rPr>
        <w:t xml:space="preserve">: </w:t>
      </w:r>
      <w:r>
        <w:t>Monthly Legal Minimum Wage</w:t>
      </w:r>
    </w:p>
    <w:p w:rsidR="00AF4080" w:rsidRDefault="00AF4080">
      <w:pPr>
        <w:spacing w:before="0"/>
        <w:jc w:val="left"/>
        <w:rPr>
          <w:b/>
          <w:bCs/>
          <w:lang w:val="en-AU"/>
        </w:rPr>
      </w:pPr>
      <w:r w:rsidRPr="00250D23">
        <w:rPr>
          <w:lang w:val="en-US"/>
        </w:rPr>
        <w:br w:type="page"/>
      </w:r>
    </w:p>
    <w:p w:rsidR="000E5D70" w:rsidRDefault="00526F93" w:rsidP="00FF4396">
      <w:pPr>
        <w:pStyle w:val="HeadingB"/>
        <w:rPr>
          <w:szCs w:val="19"/>
        </w:rPr>
      </w:pPr>
      <w:r>
        <w:lastRenderedPageBreak/>
        <w:t>D)</w:t>
      </w:r>
      <w:r>
        <w:tab/>
      </w:r>
      <w:r w:rsidR="000E5D70">
        <w:t>Congestion factor</w:t>
      </w:r>
    </w:p>
    <w:p w:rsidR="000E5D70" w:rsidRPr="00250D23" w:rsidRDefault="000E5D70" w:rsidP="000E5D70">
      <w:pPr>
        <w:rPr>
          <w:szCs w:val="19"/>
          <w:lang w:val="en-US"/>
        </w:rPr>
      </w:pPr>
      <w:r w:rsidRPr="00250D23">
        <w:rPr>
          <w:lang w:val="en-US"/>
        </w:rPr>
        <w:t>The Colombian model currently lacks of significant variables which are capable of encouraging the efficient use of the spectrum. The objective of including this variable is to promote relocation of users to less occupied bands by increasing the fees for congested bands.</w:t>
      </w:r>
    </w:p>
    <w:p w:rsidR="000E5D70" w:rsidRPr="00250D23" w:rsidRDefault="000E5D70" w:rsidP="000E5D70">
      <w:pPr>
        <w:rPr>
          <w:szCs w:val="19"/>
          <w:lang w:val="en-US"/>
        </w:rPr>
      </w:pPr>
      <w:r w:rsidRPr="00250D23">
        <w:rPr>
          <w:lang w:val="en-US"/>
        </w:rPr>
        <w:t>Therefore, incorporating a congestion factor has been considered consistent with the main objective of the spectrum fees regime.  The purpose of the factor is to show the demand towards certain types of bands, and to make a difference depending on the use of the spectrum.</w:t>
      </w:r>
    </w:p>
    <w:p w:rsidR="000E5D70" w:rsidRPr="00250D23" w:rsidRDefault="000E5D70" w:rsidP="000E5D70">
      <w:pPr>
        <w:rPr>
          <w:szCs w:val="19"/>
          <w:lang w:val="en-US"/>
        </w:rPr>
      </w:pPr>
      <w:r w:rsidRPr="00250D23">
        <w:rPr>
          <w:lang w:val="en-US"/>
        </w:rPr>
        <w:t>The congestion factor requires for the administration to determine the level of congestion. Consequently, a specific study will be carried out to analyze the geographic scope and intensity of the current use of the spectrum. The goal is to obtain a matrix determining congestion by frequency and geographic location, which should be updated periodically.</w:t>
      </w:r>
      <w:r w:rsidRPr="00250D23">
        <w:rPr>
          <w:szCs w:val="19"/>
          <w:lang w:val="en-US"/>
        </w:rPr>
        <w:t xml:space="preserve"> </w:t>
      </w:r>
    </w:p>
    <w:p w:rsidR="000E5D70" w:rsidRPr="00250D23" w:rsidRDefault="000E5D70" w:rsidP="000E5D70">
      <w:pPr>
        <w:rPr>
          <w:szCs w:val="19"/>
          <w:lang w:val="en-US"/>
        </w:rPr>
      </w:pPr>
      <w:r w:rsidRPr="00250D23">
        <w:rPr>
          <w:lang w:val="en-US"/>
        </w:rPr>
        <w:t>One of the main issues in developing this variable is determining the degree of substitution in the use of multiple bands for the same services, which needs to be aligned with all spectrum planning analysis and decisions. The analysis of the degree of substitution shall determine, apart from the technical issue, the economic cost which would be different depending on the band of frequency. This will be the input to define the incentives for the use of bands in non-congested areas.</w:t>
      </w:r>
    </w:p>
    <w:p w:rsidR="000E5D70" w:rsidRPr="00250D23" w:rsidRDefault="000E5D70" w:rsidP="000E5D70">
      <w:pPr>
        <w:spacing w:before="0"/>
        <w:rPr>
          <w:lang w:val="en-US"/>
        </w:rPr>
      </w:pPr>
      <w:r w:rsidRPr="00250D23">
        <w:rPr>
          <w:lang w:val="en-US"/>
        </w:rPr>
        <w:br w:type="page"/>
      </w:r>
    </w:p>
    <w:p w:rsidR="00E326D4" w:rsidRPr="00E326D4" w:rsidRDefault="00E326D4" w:rsidP="006504A4">
      <w:pPr>
        <w:pStyle w:val="Heading1"/>
        <w:spacing w:before="240"/>
      </w:pPr>
      <w:bookmarkStart w:id="55" w:name="_Toc380408324"/>
      <w:r w:rsidRPr="00E326D4">
        <w:lastRenderedPageBreak/>
        <w:t>Annex 8:</w:t>
      </w:r>
      <w:r w:rsidR="00041568">
        <w:tab/>
      </w:r>
      <w:r w:rsidRPr="00E326D4">
        <w:t>Contributions list (2010-2014 Study Period)</w:t>
      </w:r>
      <w:bookmarkEnd w:id="55"/>
    </w:p>
    <w:p w:rsidR="00E326D4" w:rsidRPr="00E326D4" w:rsidRDefault="00E326D4" w:rsidP="00E326D4">
      <w:pPr>
        <w:pStyle w:val="Heading1"/>
      </w:pPr>
      <w:bookmarkStart w:id="56" w:name="_Toc380408325"/>
      <w:r w:rsidRPr="00E326D4">
        <w:t>I</w:t>
      </w:r>
      <w:r>
        <w:tab/>
      </w:r>
      <w:r w:rsidRPr="00E326D4">
        <w:t>Meeting of the Joint Group on Resolution 9 (16 September 2010)</w:t>
      </w:r>
      <w:bookmarkEnd w:id="56"/>
    </w:p>
    <w:p w:rsidR="00E326D4" w:rsidRDefault="00E326D4" w:rsidP="00E326D4">
      <w:pPr>
        <w:pStyle w:val="Heading2"/>
      </w:pPr>
      <w:bookmarkStart w:id="57" w:name="_Toc380408326"/>
      <w:r w:rsidRPr="00E326D4">
        <w:t>1.1</w:t>
      </w:r>
      <w:r>
        <w:tab/>
      </w:r>
      <w:r w:rsidRPr="00E326D4">
        <w:t>Agenda</w:t>
      </w:r>
      <w:bookmarkEnd w:id="57"/>
      <w:r w:rsidRPr="00E326D4">
        <w:t xml:space="preserve"> </w:t>
      </w:r>
    </w:p>
    <w:p w:rsidR="00501643" w:rsidRPr="00501643" w:rsidRDefault="00501643" w:rsidP="00501643">
      <w:pPr>
        <w:rPr>
          <w:sz w:val="6"/>
          <w:lang w:val="en-US"/>
        </w:rPr>
      </w:pP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826"/>
        <w:gridCol w:w="1395"/>
        <w:gridCol w:w="2237"/>
        <w:gridCol w:w="3338"/>
        <w:gridCol w:w="1276"/>
      </w:tblGrid>
      <w:tr w:rsidR="00E326D4" w:rsidRPr="00E305C1" w:rsidTr="00E305C1">
        <w:trPr>
          <w:tblHeader/>
          <w:jc w:val="center"/>
        </w:trPr>
        <w:tc>
          <w:tcPr>
            <w:tcW w:w="455"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05C1" w:rsidRDefault="00E326D4" w:rsidP="00E305C1">
            <w:pPr>
              <w:pStyle w:val="Tablehead"/>
            </w:pPr>
            <w:r w:rsidRPr="00E305C1">
              <w:t>Web</w:t>
            </w:r>
          </w:p>
        </w:tc>
        <w:tc>
          <w:tcPr>
            <w:tcW w:w="769"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05C1" w:rsidRDefault="00E326D4" w:rsidP="00E305C1">
            <w:pPr>
              <w:pStyle w:val="Tablehead"/>
            </w:pPr>
            <w:r w:rsidRPr="00E305C1">
              <w:t>Received</w:t>
            </w:r>
          </w:p>
        </w:tc>
        <w:tc>
          <w:tcPr>
            <w:tcW w:w="1233"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05C1" w:rsidRDefault="00E326D4" w:rsidP="00E305C1">
            <w:pPr>
              <w:pStyle w:val="Tablehead"/>
            </w:pPr>
            <w:r w:rsidRPr="00E305C1">
              <w:t>Source</w:t>
            </w:r>
          </w:p>
        </w:tc>
        <w:tc>
          <w:tcPr>
            <w:tcW w:w="1840"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05C1" w:rsidRDefault="00E326D4" w:rsidP="00E305C1">
            <w:pPr>
              <w:pStyle w:val="Tablehead"/>
            </w:pPr>
            <w:r w:rsidRPr="00E305C1">
              <w:t>Title</w:t>
            </w:r>
          </w:p>
        </w:tc>
        <w:tc>
          <w:tcPr>
            <w:tcW w:w="703"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05C1" w:rsidRDefault="00E326D4" w:rsidP="00E305C1">
            <w:pPr>
              <w:pStyle w:val="Tablehead"/>
            </w:pPr>
            <w:r w:rsidRPr="00E305C1">
              <w:t>Questions</w:t>
            </w:r>
          </w:p>
        </w:tc>
      </w:tr>
      <w:tr w:rsidR="00E326D4" w:rsidRPr="00E305C1" w:rsidTr="00E305C1">
        <w:trPr>
          <w:jc w:val="center"/>
        </w:trPr>
        <w:tc>
          <w:tcPr>
            <w:tcW w:w="455"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5D275B" w:rsidRDefault="005F357A" w:rsidP="00E305C1">
            <w:pPr>
              <w:pStyle w:val="Tabletext"/>
            </w:pPr>
            <w:hyperlink r:id="rId73" w:history="1">
              <w:r w:rsidR="005D275B" w:rsidRPr="005D275B">
                <w:rPr>
                  <w:rStyle w:val="Hyperlink"/>
                  <w:lang w:val="en-US"/>
                </w:rPr>
                <w:t xml:space="preserve">OJ 11 </w:t>
              </w:r>
            </w:hyperlink>
          </w:p>
        </w:tc>
        <w:tc>
          <w:tcPr>
            <w:tcW w:w="769" w:type="pct"/>
            <w:tcBorders>
              <w:top w:val="single" w:sz="2" w:space="0" w:color="auto"/>
              <w:left w:val="single" w:sz="2" w:space="0" w:color="auto"/>
              <w:bottom w:val="single" w:sz="2" w:space="0" w:color="auto"/>
              <w:right w:val="single" w:sz="2" w:space="0" w:color="auto"/>
            </w:tcBorders>
            <w:shd w:val="clear" w:color="auto" w:fill="E8F8FD"/>
            <w:noWrap/>
            <w:hideMark/>
          </w:tcPr>
          <w:p w:rsidR="00E326D4" w:rsidRPr="00E305C1" w:rsidRDefault="00E326D4" w:rsidP="00E305C1">
            <w:pPr>
              <w:pStyle w:val="Tabletext"/>
            </w:pPr>
            <w:r w:rsidRPr="00E305C1">
              <w:t>2010-08-06</w:t>
            </w:r>
          </w:p>
        </w:tc>
        <w:tc>
          <w:tcPr>
            <w:tcW w:w="1233"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E305C1" w:rsidRDefault="00E326D4" w:rsidP="00E305C1">
            <w:pPr>
              <w:pStyle w:val="Tabletext"/>
            </w:pPr>
            <w:r w:rsidRPr="00E305C1">
              <w:t>Telecommunication Development Bureau</w:t>
            </w:r>
          </w:p>
        </w:tc>
        <w:tc>
          <w:tcPr>
            <w:tcW w:w="1840"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E305C1" w:rsidRDefault="00E326D4" w:rsidP="00E305C1">
            <w:pPr>
              <w:pStyle w:val="Tabletext"/>
              <w:rPr>
                <w:lang w:val="en-US"/>
              </w:rPr>
            </w:pPr>
            <w:r w:rsidRPr="00E305C1">
              <w:rPr>
                <w:lang w:val="en-US"/>
              </w:rPr>
              <w:t xml:space="preserve">Draft Agenda of the Rapporteur's Group meeting on Resolution 9 Thursday 16 September 2010, 0930 </w:t>
            </w:r>
            <w:r w:rsidR="00E305C1">
              <w:rPr>
                <w:lang w:val="en-US"/>
              </w:rPr>
              <w:t>–</w:t>
            </w:r>
            <w:r w:rsidRPr="00E305C1">
              <w:rPr>
                <w:lang w:val="en-US"/>
              </w:rPr>
              <w:t xml:space="preserve"> 1045 hours</w:t>
            </w:r>
          </w:p>
        </w:tc>
        <w:tc>
          <w:tcPr>
            <w:tcW w:w="703"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E305C1" w:rsidRDefault="00E326D4" w:rsidP="00E305C1">
            <w:pPr>
              <w:pStyle w:val="Tabletext"/>
            </w:pPr>
            <w:r w:rsidRPr="00E305C1">
              <w:t>RES9</w:t>
            </w:r>
          </w:p>
        </w:tc>
      </w:tr>
    </w:tbl>
    <w:p w:rsidR="00E305C1" w:rsidRDefault="00E305C1" w:rsidP="00E305C1"/>
    <w:p w:rsidR="00E326D4" w:rsidRDefault="00E326D4" w:rsidP="00E326D4">
      <w:pPr>
        <w:pStyle w:val="Heading2"/>
      </w:pPr>
      <w:bookmarkStart w:id="58" w:name="_Toc380408327"/>
      <w:r w:rsidRPr="00E326D4">
        <w:t>1.2</w:t>
      </w:r>
      <w:r>
        <w:tab/>
      </w:r>
      <w:r w:rsidRPr="00E326D4">
        <w:t>Contributions</w:t>
      </w:r>
      <w:bookmarkEnd w:id="58"/>
      <w:r w:rsidRPr="00E326D4">
        <w:t xml:space="preserve"> </w:t>
      </w:r>
    </w:p>
    <w:p w:rsidR="00501643" w:rsidRPr="00501643" w:rsidRDefault="00501643" w:rsidP="00501643">
      <w:pPr>
        <w:rPr>
          <w:sz w:val="6"/>
          <w:lang w:val="en-US"/>
        </w:rPr>
      </w:pP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822"/>
        <w:gridCol w:w="1441"/>
        <w:gridCol w:w="2333"/>
        <w:gridCol w:w="3211"/>
        <w:gridCol w:w="1265"/>
      </w:tblGrid>
      <w:tr w:rsidR="00E326D4" w:rsidRPr="00501643" w:rsidTr="00501643">
        <w:trPr>
          <w:tblHeader/>
          <w:jc w:val="center"/>
        </w:trPr>
        <w:tc>
          <w:tcPr>
            <w:tcW w:w="453"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Web</w:t>
            </w:r>
          </w:p>
        </w:tc>
        <w:tc>
          <w:tcPr>
            <w:tcW w:w="794"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Received</w:t>
            </w:r>
          </w:p>
        </w:tc>
        <w:tc>
          <w:tcPr>
            <w:tcW w:w="1286"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Source</w:t>
            </w:r>
          </w:p>
        </w:tc>
        <w:tc>
          <w:tcPr>
            <w:tcW w:w="1770"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Title</w:t>
            </w:r>
          </w:p>
        </w:tc>
        <w:tc>
          <w:tcPr>
            <w:tcW w:w="697"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Questions</w:t>
            </w:r>
          </w:p>
        </w:tc>
      </w:tr>
      <w:tr w:rsidR="005D275B" w:rsidRPr="00501643" w:rsidTr="00501643">
        <w:trPr>
          <w:jc w:val="center"/>
        </w:trPr>
        <w:tc>
          <w:tcPr>
            <w:tcW w:w="453"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D275B" w:rsidRDefault="005F357A" w:rsidP="009B4A23">
            <w:pPr>
              <w:spacing w:before="60" w:after="60"/>
              <w:rPr>
                <w:sz w:val="19"/>
                <w:szCs w:val="19"/>
                <w:u w:val="single"/>
              </w:rPr>
            </w:pPr>
            <w:hyperlink r:id="rId74" w:history="1">
              <w:r w:rsidR="005D275B" w:rsidRPr="005D275B">
                <w:rPr>
                  <w:rStyle w:val="Hyperlink"/>
                  <w:sz w:val="19"/>
                  <w:szCs w:val="19"/>
                  <w:lang w:val="en-US"/>
                </w:rPr>
                <w:t xml:space="preserve">C 7 </w:t>
              </w:r>
            </w:hyperlink>
          </w:p>
        </w:tc>
        <w:tc>
          <w:tcPr>
            <w:tcW w:w="794" w:type="pct"/>
            <w:tcBorders>
              <w:top w:val="single" w:sz="2" w:space="0" w:color="auto"/>
              <w:left w:val="single" w:sz="2" w:space="0" w:color="auto"/>
              <w:bottom w:val="single" w:sz="2" w:space="0" w:color="auto"/>
              <w:right w:val="single" w:sz="2" w:space="0" w:color="auto"/>
            </w:tcBorders>
            <w:shd w:val="clear" w:color="auto" w:fill="E8F8FD"/>
            <w:noWrap/>
            <w:hideMark/>
          </w:tcPr>
          <w:p w:rsidR="005D275B" w:rsidRPr="00501643" w:rsidRDefault="005D275B" w:rsidP="00501643">
            <w:pPr>
              <w:pStyle w:val="Tabletext"/>
              <w:rPr>
                <w:bCs/>
              </w:rPr>
            </w:pPr>
            <w:r w:rsidRPr="00501643">
              <w:rPr>
                <w:bCs/>
              </w:rPr>
              <w:t>2010-08-24</w:t>
            </w:r>
          </w:p>
        </w:tc>
        <w:tc>
          <w:tcPr>
            <w:tcW w:w="1286"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rPr>
                <w:bCs/>
              </w:rPr>
            </w:pPr>
            <w:r w:rsidRPr="00501643">
              <w:rPr>
                <w:bCs/>
              </w:rPr>
              <w:t>Radiocommunication Study Group</w:t>
            </w:r>
          </w:p>
        </w:tc>
        <w:tc>
          <w:tcPr>
            <w:tcW w:w="1770"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rPr>
                <w:bCs/>
                <w:lang w:val="en-US"/>
              </w:rPr>
            </w:pPr>
            <w:r w:rsidRPr="00501643">
              <w:rPr>
                <w:bCs/>
                <w:lang w:val="en-US"/>
              </w:rPr>
              <w:t>Reply to Liaison Statement to ITU</w:t>
            </w:r>
            <w:r w:rsidRPr="00501643">
              <w:rPr>
                <w:bCs/>
                <w:lang w:val="en-US"/>
              </w:rPr>
              <w:noBreakHyphen/>
              <w:t>D SG 2 Resolution 9 (Rev. Doha, 2006), Draft Guidelines for the Establishment of a System of Fees (Copy for information To WPs 1B and 1C)</w:t>
            </w:r>
          </w:p>
        </w:tc>
        <w:tc>
          <w:tcPr>
            <w:tcW w:w="697"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rPr>
                <w:bCs/>
              </w:rPr>
            </w:pPr>
            <w:r w:rsidRPr="00501643">
              <w:rPr>
                <w:bCs/>
              </w:rPr>
              <w:t>RES. 9, LS</w:t>
            </w:r>
          </w:p>
        </w:tc>
      </w:tr>
      <w:tr w:rsidR="005D275B" w:rsidRPr="00501643" w:rsidTr="00501643">
        <w:trPr>
          <w:jc w:val="center"/>
        </w:trPr>
        <w:tc>
          <w:tcPr>
            <w:tcW w:w="453" w:type="pct"/>
            <w:tcBorders>
              <w:top w:val="single" w:sz="2" w:space="0" w:color="auto"/>
              <w:left w:val="single" w:sz="2" w:space="0" w:color="auto"/>
              <w:bottom w:val="single" w:sz="2" w:space="0" w:color="auto"/>
              <w:right w:val="single" w:sz="2" w:space="0" w:color="auto"/>
            </w:tcBorders>
            <w:hideMark/>
          </w:tcPr>
          <w:p w:rsidR="005D275B" w:rsidRPr="005D275B" w:rsidRDefault="005F357A" w:rsidP="009B4A23">
            <w:pPr>
              <w:spacing w:before="60" w:after="60"/>
              <w:rPr>
                <w:sz w:val="19"/>
                <w:szCs w:val="19"/>
                <w:u w:val="single"/>
              </w:rPr>
            </w:pPr>
            <w:hyperlink r:id="rId75" w:history="1">
              <w:r w:rsidR="005D275B" w:rsidRPr="005D275B">
                <w:rPr>
                  <w:rStyle w:val="Hyperlink"/>
                  <w:sz w:val="19"/>
                  <w:szCs w:val="19"/>
                  <w:lang w:val="en-US"/>
                </w:rPr>
                <w:t>C 31</w:t>
              </w:r>
            </w:hyperlink>
          </w:p>
        </w:tc>
        <w:tc>
          <w:tcPr>
            <w:tcW w:w="794" w:type="pct"/>
            <w:tcBorders>
              <w:top w:val="single" w:sz="2" w:space="0" w:color="auto"/>
              <w:left w:val="single" w:sz="2" w:space="0" w:color="auto"/>
              <w:bottom w:val="single" w:sz="2" w:space="0" w:color="auto"/>
              <w:right w:val="single" w:sz="2" w:space="0" w:color="auto"/>
            </w:tcBorders>
            <w:noWrap/>
            <w:hideMark/>
          </w:tcPr>
          <w:p w:rsidR="005D275B" w:rsidRPr="00501643" w:rsidRDefault="005D275B" w:rsidP="00501643">
            <w:pPr>
              <w:pStyle w:val="Tabletext"/>
              <w:rPr>
                <w:bCs/>
              </w:rPr>
            </w:pPr>
            <w:r w:rsidRPr="00501643">
              <w:rPr>
                <w:bCs/>
              </w:rPr>
              <w:t>2010-09-02</w:t>
            </w:r>
          </w:p>
        </w:tc>
        <w:tc>
          <w:tcPr>
            <w:tcW w:w="1286" w:type="pct"/>
            <w:tcBorders>
              <w:top w:val="single" w:sz="2" w:space="0" w:color="auto"/>
              <w:left w:val="single" w:sz="2" w:space="0" w:color="auto"/>
              <w:bottom w:val="single" w:sz="2" w:space="0" w:color="auto"/>
              <w:right w:val="single" w:sz="2" w:space="0" w:color="auto"/>
            </w:tcBorders>
            <w:hideMark/>
          </w:tcPr>
          <w:p w:rsidR="005D275B" w:rsidRPr="00501643" w:rsidRDefault="005D275B" w:rsidP="00501643">
            <w:pPr>
              <w:pStyle w:val="Tabletext"/>
              <w:rPr>
                <w:bCs/>
                <w:lang w:val="en-US"/>
              </w:rPr>
            </w:pPr>
            <w:r w:rsidRPr="00501643">
              <w:rPr>
                <w:bCs/>
                <w:lang w:val="en-US"/>
              </w:rPr>
              <w:t>BDT Focal Point for Resolution 9</w:t>
            </w:r>
          </w:p>
        </w:tc>
        <w:tc>
          <w:tcPr>
            <w:tcW w:w="1770" w:type="pct"/>
            <w:tcBorders>
              <w:top w:val="single" w:sz="2" w:space="0" w:color="auto"/>
              <w:left w:val="single" w:sz="2" w:space="0" w:color="auto"/>
              <w:bottom w:val="single" w:sz="2" w:space="0" w:color="auto"/>
              <w:right w:val="single" w:sz="2" w:space="0" w:color="auto"/>
            </w:tcBorders>
            <w:hideMark/>
          </w:tcPr>
          <w:p w:rsidR="005D275B" w:rsidRPr="00501643" w:rsidRDefault="005D275B" w:rsidP="00501643">
            <w:pPr>
              <w:pStyle w:val="Tabletext"/>
              <w:rPr>
                <w:bCs/>
                <w:lang w:val="en-US"/>
              </w:rPr>
            </w:pPr>
            <w:r w:rsidRPr="00501643">
              <w:rPr>
                <w:bCs/>
                <w:lang w:val="en-US"/>
              </w:rPr>
              <w:t>New Study Period for Resolution 9</w:t>
            </w:r>
          </w:p>
        </w:tc>
        <w:tc>
          <w:tcPr>
            <w:tcW w:w="697" w:type="pct"/>
            <w:tcBorders>
              <w:top w:val="single" w:sz="2" w:space="0" w:color="auto"/>
              <w:left w:val="single" w:sz="2" w:space="0" w:color="auto"/>
              <w:bottom w:val="single" w:sz="2" w:space="0" w:color="auto"/>
              <w:right w:val="single" w:sz="2" w:space="0" w:color="auto"/>
            </w:tcBorders>
            <w:hideMark/>
          </w:tcPr>
          <w:p w:rsidR="005D275B" w:rsidRPr="00501643" w:rsidRDefault="005D275B" w:rsidP="00501643">
            <w:pPr>
              <w:pStyle w:val="Tabletext"/>
              <w:rPr>
                <w:bCs/>
              </w:rPr>
            </w:pPr>
            <w:r w:rsidRPr="00501643">
              <w:rPr>
                <w:bCs/>
              </w:rPr>
              <w:t>RES.9</w:t>
            </w:r>
          </w:p>
        </w:tc>
      </w:tr>
      <w:tr w:rsidR="005D275B" w:rsidRPr="00501643" w:rsidTr="00501643">
        <w:trPr>
          <w:jc w:val="center"/>
        </w:trPr>
        <w:tc>
          <w:tcPr>
            <w:tcW w:w="453"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D275B" w:rsidRDefault="005F357A" w:rsidP="009B4A23">
            <w:pPr>
              <w:spacing w:before="60" w:after="60"/>
              <w:rPr>
                <w:sz w:val="19"/>
                <w:szCs w:val="19"/>
                <w:u w:val="single"/>
              </w:rPr>
            </w:pPr>
            <w:hyperlink r:id="rId76" w:history="1">
              <w:r w:rsidR="005D275B" w:rsidRPr="005D275B">
                <w:rPr>
                  <w:rStyle w:val="Hyperlink"/>
                  <w:sz w:val="19"/>
                  <w:szCs w:val="19"/>
                  <w:lang w:val="en-US"/>
                </w:rPr>
                <w:t xml:space="preserve">C 59 </w:t>
              </w:r>
            </w:hyperlink>
          </w:p>
        </w:tc>
        <w:tc>
          <w:tcPr>
            <w:tcW w:w="794" w:type="pct"/>
            <w:tcBorders>
              <w:top w:val="single" w:sz="2" w:space="0" w:color="auto"/>
              <w:left w:val="single" w:sz="2" w:space="0" w:color="auto"/>
              <w:bottom w:val="single" w:sz="2" w:space="0" w:color="auto"/>
              <w:right w:val="single" w:sz="2" w:space="0" w:color="auto"/>
            </w:tcBorders>
            <w:shd w:val="clear" w:color="auto" w:fill="E8F8FD"/>
            <w:noWrap/>
            <w:hideMark/>
          </w:tcPr>
          <w:p w:rsidR="005D275B" w:rsidRPr="00501643" w:rsidRDefault="005D275B" w:rsidP="00501643">
            <w:pPr>
              <w:pStyle w:val="Tabletext"/>
              <w:rPr>
                <w:bCs/>
              </w:rPr>
            </w:pPr>
            <w:r w:rsidRPr="00501643">
              <w:rPr>
                <w:bCs/>
              </w:rPr>
              <w:t>2011-06-02</w:t>
            </w:r>
          </w:p>
        </w:tc>
        <w:tc>
          <w:tcPr>
            <w:tcW w:w="1286"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rPr>
                <w:bCs/>
              </w:rPr>
            </w:pPr>
            <w:r w:rsidRPr="00501643">
              <w:rPr>
                <w:bCs/>
              </w:rPr>
              <w:t>ITU</w:t>
            </w:r>
            <w:r w:rsidRPr="00501643">
              <w:rPr>
                <w:bCs/>
              </w:rPr>
              <w:noBreakHyphen/>
              <w:t>D Study Group 2</w:t>
            </w:r>
          </w:p>
        </w:tc>
        <w:tc>
          <w:tcPr>
            <w:tcW w:w="1770"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rPr>
                <w:bCs/>
                <w:lang w:val="en-US"/>
              </w:rPr>
            </w:pPr>
            <w:r w:rsidRPr="00501643">
              <w:rPr>
                <w:bCs/>
                <w:lang w:val="en-US"/>
              </w:rPr>
              <w:t>Participation of countries, particularly developing countries, in spectrum management</w:t>
            </w:r>
          </w:p>
        </w:tc>
        <w:tc>
          <w:tcPr>
            <w:tcW w:w="697"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rPr>
                <w:bCs/>
              </w:rPr>
            </w:pPr>
            <w:r w:rsidRPr="00501643">
              <w:rPr>
                <w:bCs/>
              </w:rPr>
              <w:t>LS, RES.9</w:t>
            </w:r>
          </w:p>
        </w:tc>
      </w:tr>
      <w:tr w:rsidR="005D275B" w:rsidRPr="00501643" w:rsidTr="00501643">
        <w:trPr>
          <w:jc w:val="center"/>
        </w:trPr>
        <w:tc>
          <w:tcPr>
            <w:tcW w:w="453" w:type="pct"/>
            <w:tcBorders>
              <w:top w:val="single" w:sz="2" w:space="0" w:color="auto"/>
              <w:left w:val="single" w:sz="2" w:space="0" w:color="auto"/>
              <w:bottom w:val="single" w:sz="2" w:space="0" w:color="auto"/>
              <w:right w:val="single" w:sz="2" w:space="0" w:color="auto"/>
            </w:tcBorders>
            <w:hideMark/>
          </w:tcPr>
          <w:p w:rsidR="005D275B" w:rsidRPr="005D275B" w:rsidRDefault="005F357A" w:rsidP="009B4A23">
            <w:pPr>
              <w:spacing w:before="60" w:after="60"/>
              <w:rPr>
                <w:sz w:val="19"/>
                <w:szCs w:val="19"/>
                <w:u w:val="single"/>
              </w:rPr>
            </w:pPr>
            <w:hyperlink r:id="rId77" w:history="1">
              <w:r w:rsidR="005D275B" w:rsidRPr="005D275B">
                <w:rPr>
                  <w:rStyle w:val="Hyperlink"/>
                  <w:sz w:val="19"/>
                  <w:szCs w:val="19"/>
                  <w:lang w:val="en-US"/>
                </w:rPr>
                <w:t xml:space="preserve">C 60 </w:t>
              </w:r>
            </w:hyperlink>
          </w:p>
        </w:tc>
        <w:tc>
          <w:tcPr>
            <w:tcW w:w="794" w:type="pct"/>
            <w:tcBorders>
              <w:top w:val="single" w:sz="2" w:space="0" w:color="auto"/>
              <w:left w:val="single" w:sz="2" w:space="0" w:color="auto"/>
              <w:bottom w:val="single" w:sz="2" w:space="0" w:color="auto"/>
              <w:right w:val="single" w:sz="2" w:space="0" w:color="auto"/>
            </w:tcBorders>
            <w:noWrap/>
            <w:hideMark/>
          </w:tcPr>
          <w:p w:rsidR="005D275B" w:rsidRPr="00501643" w:rsidRDefault="005D275B" w:rsidP="00501643">
            <w:pPr>
              <w:pStyle w:val="Tabletext"/>
              <w:rPr>
                <w:bCs/>
              </w:rPr>
            </w:pPr>
            <w:r w:rsidRPr="00501643">
              <w:rPr>
                <w:bCs/>
              </w:rPr>
              <w:t>2011-06-02</w:t>
            </w:r>
          </w:p>
        </w:tc>
        <w:tc>
          <w:tcPr>
            <w:tcW w:w="1286" w:type="pct"/>
            <w:tcBorders>
              <w:top w:val="single" w:sz="2" w:space="0" w:color="auto"/>
              <w:left w:val="single" w:sz="2" w:space="0" w:color="auto"/>
              <w:bottom w:val="single" w:sz="2" w:space="0" w:color="auto"/>
              <w:right w:val="single" w:sz="2" w:space="0" w:color="auto"/>
            </w:tcBorders>
            <w:hideMark/>
          </w:tcPr>
          <w:p w:rsidR="005D275B" w:rsidRPr="00501643" w:rsidRDefault="005D275B" w:rsidP="00501643">
            <w:pPr>
              <w:pStyle w:val="Tabletext"/>
              <w:rPr>
                <w:bCs/>
              </w:rPr>
            </w:pPr>
            <w:r w:rsidRPr="00501643">
              <w:rPr>
                <w:bCs/>
              </w:rPr>
              <w:t>Radiocommunication Bureau (BR)</w:t>
            </w:r>
          </w:p>
        </w:tc>
        <w:tc>
          <w:tcPr>
            <w:tcW w:w="1770" w:type="pct"/>
            <w:tcBorders>
              <w:top w:val="single" w:sz="2" w:space="0" w:color="auto"/>
              <w:left w:val="single" w:sz="2" w:space="0" w:color="auto"/>
              <w:bottom w:val="single" w:sz="2" w:space="0" w:color="auto"/>
              <w:right w:val="single" w:sz="2" w:space="0" w:color="auto"/>
            </w:tcBorders>
            <w:hideMark/>
          </w:tcPr>
          <w:p w:rsidR="005D275B" w:rsidRPr="00501643" w:rsidRDefault="005D275B" w:rsidP="00501643">
            <w:pPr>
              <w:pStyle w:val="Tabletext"/>
              <w:rPr>
                <w:bCs/>
                <w:lang w:val="en-US"/>
              </w:rPr>
            </w:pPr>
            <w:r w:rsidRPr="00501643">
              <w:rPr>
                <w:bCs/>
                <w:lang w:val="en-US"/>
              </w:rPr>
              <w:t>Liaison Statement to ITU</w:t>
            </w:r>
            <w:r w:rsidRPr="00501643">
              <w:rPr>
                <w:bCs/>
                <w:lang w:val="en-US"/>
              </w:rPr>
              <w:noBreakHyphen/>
              <w:t>D Study Group</w:t>
            </w:r>
            <w:r>
              <w:rPr>
                <w:bCs/>
                <w:lang w:val="en-US"/>
              </w:rPr>
              <w:t> </w:t>
            </w:r>
            <w:r w:rsidRPr="00501643">
              <w:rPr>
                <w:bCs/>
                <w:lang w:val="en-US"/>
              </w:rPr>
              <w:t>2: Nomination of Co-Chairmen of the Joint Group on ITU</w:t>
            </w:r>
            <w:r w:rsidRPr="00501643">
              <w:rPr>
                <w:bCs/>
                <w:lang w:val="en-US"/>
              </w:rPr>
              <w:noBreakHyphen/>
              <w:t>D Resolution 9 (Rev. Hyderabad, 2010)</w:t>
            </w:r>
          </w:p>
        </w:tc>
        <w:tc>
          <w:tcPr>
            <w:tcW w:w="697" w:type="pct"/>
            <w:tcBorders>
              <w:top w:val="single" w:sz="2" w:space="0" w:color="auto"/>
              <w:left w:val="single" w:sz="2" w:space="0" w:color="auto"/>
              <w:bottom w:val="single" w:sz="2" w:space="0" w:color="auto"/>
              <w:right w:val="single" w:sz="2" w:space="0" w:color="auto"/>
            </w:tcBorders>
            <w:hideMark/>
          </w:tcPr>
          <w:p w:rsidR="005D275B" w:rsidRPr="00501643" w:rsidRDefault="005D275B" w:rsidP="00501643">
            <w:pPr>
              <w:pStyle w:val="Tabletext"/>
              <w:rPr>
                <w:bCs/>
              </w:rPr>
            </w:pPr>
            <w:r w:rsidRPr="00501643">
              <w:rPr>
                <w:bCs/>
              </w:rPr>
              <w:t>LS, RES.9</w:t>
            </w:r>
          </w:p>
        </w:tc>
      </w:tr>
      <w:tr w:rsidR="005D275B" w:rsidRPr="00501643" w:rsidTr="00501643">
        <w:trPr>
          <w:jc w:val="center"/>
        </w:trPr>
        <w:tc>
          <w:tcPr>
            <w:tcW w:w="453"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D275B" w:rsidRDefault="005F357A" w:rsidP="009B4A23">
            <w:pPr>
              <w:spacing w:before="60" w:after="60"/>
              <w:rPr>
                <w:sz w:val="19"/>
                <w:szCs w:val="19"/>
                <w:u w:val="single"/>
              </w:rPr>
            </w:pPr>
            <w:hyperlink r:id="rId78" w:history="1">
              <w:r w:rsidR="005D275B" w:rsidRPr="005D275B">
                <w:rPr>
                  <w:rStyle w:val="Hyperlink"/>
                  <w:sz w:val="19"/>
                  <w:szCs w:val="19"/>
                  <w:lang w:val="en-US"/>
                </w:rPr>
                <w:t xml:space="preserve">C 61 </w:t>
              </w:r>
            </w:hyperlink>
          </w:p>
        </w:tc>
        <w:tc>
          <w:tcPr>
            <w:tcW w:w="794" w:type="pct"/>
            <w:tcBorders>
              <w:top w:val="single" w:sz="2" w:space="0" w:color="auto"/>
              <w:left w:val="single" w:sz="2" w:space="0" w:color="auto"/>
              <w:bottom w:val="single" w:sz="2" w:space="0" w:color="auto"/>
              <w:right w:val="single" w:sz="2" w:space="0" w:color="auto"/>
            </w:tcBorders>
            <w:shd w:val="clear" w:color="auto" w:fill="E8F8FD"/>
            <w:noWrap/>
            <w:hideMark/>
          </w:tcPr>
          <w:p w:rsidR="005D275B" w:rsidRPr="00501643" w:rsidRDefault="005D275B" w:rsidP="00501643">
            <w:pPr>
              <w:pStyle w:val="Tabletext"/>
              <w:rPr>
                <w:bCs/>
              </w:rPr>
            </w:pPr>
            <w:r w:rsidRPr="00501643">
              <w:rPr>
                <w:bCs/>
              </w:rPr>
              <w:t>2011-06-02</w:t>
            </w:r>
          </w:p>
        </w:tc>
        <w:tc>
          <w:tcPr>
            <w:tcW w:w="1286"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rPr>
                <w:bCs/>
                <w:lang w:val="en-US"/>
              </w:rPr>
            </w:pPr>
            <w:r w:rsidRPr="00501643">
              <w:rPr>
                <w:bCs/>
                <w:lang w:val="en-US"/>
              </w:rPr>
              <w:t>Co-Chairman of the Joint Group on Resolution 9</w:t>
            </w:r>
          </w:p>
        </w:tc>
        <w:tc>
          <w:tcPr>
            <w:tcW w:w="1770"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rPr>
                <w:bCs/>
                <w:lang w:val="fr-CH"/>
              </w:rPr>
            </w:pPr>
            <w:r w:rsidRPr="00501643">
              <w:rPr>
                <w:bCs/>
                <w:lang w:val="fr-CH"/>
              </w:rPr>
              <w:t>Programme de travail pour la Résolution 9 (Rev. Hyderabad, 2010)</w:t>
            </w:r>
          </w:p>
        </w:tc>
        <w:tc>
          <w:tcPr>
            <w:tcW w:w="697"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rPr>
                <w:bCs/>
              </w:rPr>
            </w:pPr>
            <w:r w:rsidRPr="00501643">
              <w:rPr>
                <w:bCs/>
              </w:rPr>
              <w:t>WP, RES.9</w:t>
            </w:r>
          </w:p>
        </w:tc>
      </w:tr>
    </w:tbl>
    <w:p w:rsidR="00501643" w:rsidRDefault="00501643" w:rsidP="00501643">
      <w:pPr>
        <w:spacing w:before="0"/>
      </w:pPr>
    </w:p>
    <w:p w:rsidR="00E326D4" w:rsidRDefault="00E326D4" w:rsidP="00E326D4">
      <w:pPr>
        <w:pStyle w:val="Heading2"/>
      </w:pPr>
      <w:bookmarkStart w:id="59" w:name="_Toc380408328"/>
      <w:r w:rsidRPr="00E326D4">
        <w:t>1.3</w:t>
      </w:r>
      <w:r>
        <w:tab/>
      </w:r>
      <w:r w:rsidRPr="00E326D4">
        <w:t>Information documents</w:t>
      </w:r>
      <w:bookmarkEnd w:id="59"/>
    </w:p>
    <w:p w:rsidR="00E326D4" w:rsidRPr="00501643" w:rsidRDefault="00E326D4" w:rsidP="00E326D4">
      <w:pPr>
        <w:rPr>
          <w:sz w:val="6"/>
          <w:lang w:val="en-US"/>
        </w:rPr>
      </w:pP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827"/>
        <w:gridCol w:w="1442"/>
        <w:gridCol w:w="2263"/>
        <w:gridCol w:w="3270"/>
        <w:gridCol w:w="1270"/>
      </w:tblGrid>
      <w:tr w:rsidR="00E326D4" w:rsidRPr="00E326D4" w:rsidTr="005D275B">
        <w:trPr>
          <w:tblHeader/>
          <w:jc w:val="center"/>
        </w:trPr>
        <w:tc>
          <w:tcPr>
            <w:tcW w:w="456"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501643">
            <w:pPr>
              <w:pStyle w:val="Tablehead"/>
            </w:pPr>
            <w:r w:rsidRPr="00E326D4">
              <w:t>Web</w:t>
            </w:r>
          </w:p>
        </w:tc>
        <w:tc>
          <w:tcPr>
            <w:tcW w:w="795"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501643">
            <w:pPr>
              <w:pStyle w:val="Tablehead"/>
            </w:pPr>
            <w:r w:rsidRPr="00E326D4">
              <w:t>Received</w:t>
            </w:r>
          </w:p>
        </w:tc>
        <w:tc>
          <w:tcPr>
            <w:tcW w:w="0" w:type="auto"/>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501643">
            <w:pPr>
              <w:pStyle w:val="Tablehead"/>
            </w:pPr>
            <w:r w:rsidRPr="00E326D4">
              <w:t>Source</w:t>
            </w:r>
          </w:p>
        </w:tc>
        <w:tc>
          <w:tcPr>
            <w:tcW w:w="0" w:type="auto"/>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501643">
            <w:pPr>
              <w:pStyle w:val="Tablehead"/>
            </w:pPr>
            <w:r w:rsidRPr="00E326D4">
              <w:t>Title</w:t>
            </w:r>
          </w:p>
        </w:tc>
        <w:tc>
          <w:tcPr>
            <w:tcW w:w="700"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501643">
            <w:pPr>
              <w:pStyle w:val="Tablehead"/>
            </w:pPr>
            <w:r w:rsidRPr="00E326D4">
              <w:t>Questions</w:t>
            </w:r>
          </w:p>
        </w:tc>
      </w:tr>
      <w:tr w:rsidR="005D275B" w:rsidRPr="00501643" w:rsidTr="005D275B">
        <w:trPr>
          <w:jc w:val="center"/>
        </w:trPr>
        <w:tc>
          <w:tcPr>
            <w:tcW w:w="456"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D275B" w:rsidRDefault="005F357A" w:rsidP="009B4A23">
            <w:pPr>
              <w:spacing w:before="60" w:after="60"/>
              <w:rPr>
                <w:sz w:val="19"/>
                <w:szCs w:val="19"/>
              </w:rPr>
            </w:pPr>
            <w:hyperlink r:id="rId79" w:history="1">
              <w:r w:rsidR="005D275B" w:rsidRPr="005D275B">
                <w:rPr>
                  <w:rStyle w:val="Hyperlink"/>
                  <w:sz w:val="19"/>
                  <w:szCs w:val="19"/>
                  <w:lang w:val="en-US"/>
                </w:rPr>
                <w:t xml:space="preserve">INF 5 </w:t>
              </w:r>
            </w:hyperlink>
          </w:p>
        </w:tc>
        <w:tc>
          <w:tcPr>
            <w:tcW w:w="795" w:type="pct"/>
            <w:tcBorders>
              <w:top w:val="single" w:sz="2" w:space="0" w:color="auto"/>
              <w:left w:val="single" w:sz="2" w:space="0" w:color="auto"/>
              <w:bottom w:val="single" w:sz="2" w:space="0" w:color="auto"/>
              <w:right w:val="single" w:sz="2" w:space="0" w:color="auto"/>
            </w:tcBorders>
            <w:shd w:val="clear" w:color="auto" w:fill="E8F8FD"/>
            <w:noWrap/>
            <w:hideMark/>
          </w:tcPr>
          <w:p w:rsidR="005D275B" w:rsidRPr="00501643" w:rsidRDefault="005D275B" w:rsidP="00501643">
            <w:pPr>
              <w:pStyle w:val="Tabletext"/>
            </w:pPr>
            <w:r w:rsidRPr="00501643">
              <w:t>2010-08-03</w:t>
            </w:r>
          </w:p>
        </w:tc>
        <w:tc>
          <w:tcPr>
            <w:tcW w:w="1247"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pPr>
            <w:r w:rsidRPr="00501643">
              <w:t>Eritrea</w:t>
            </w:r>
          </w:p>
        </w:tc>
        <w:tc>
          <w:tcPr>
            <w:tcW w:w="1802"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pPr>
            <w:r w:rsidRPr="00501643">
              <w:t>Resolution 9 (Rev. Doha, 2006)</w:t>
            </w:r>
          </w:p>
        </w:tc>
        <w:tc>
          <w:tcPr>
            <w:tcW w:w="700"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pPr>
            <w:r w:rsidRPr="00501643">
              <w:t>RES. 9</w:t>
            </w:r>
          </w:p>
        </w:tc>
      </w:tr>
    </w:tbl>
    <w:p w:rsidR="00E326D4" w:rsidRDefault="00E326D4" w:rsidP="00E326D4">
      <w:pPr>
        <w:pStyle w:val="Heading2"/>
      </w:pPr>
      <w:bookmarkStart w:id="60" w:name="_Toc380408329"/>
      <w:r w:rsidRPr="00E326D4">
        <w:t>1.4</w:t>
      </w:r>
      <w:r>
        <w:tab/>
      </w:r>
      <w:r w:rsidRPr="00E326D4">
        <w:t>Meeting Report</w:t>
      </w:r>
      <w:bookmarkEnd w:id="60"/>
    </w:p>
    <w:p w:rsidR="00E326D4" w:rsidRPr="00501643" w:rsidRDefault="00E326D4" w:rsidP="00E326D4">
      <w:pPr>
        <w:rPr>
          <w:sz w:val="6"/>
          <w:lang w:val="en-US"/>
        </w:rPr>
      </w:pP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827"/>
        <w:gridCol w:w="1442"/>
        <w:gridCol w:w="2263"/>
        <w:gridCol w:w="3270"/>
        <w:gridCol w:w="1270"/>
      </w:tblGrid>
      <w:tr w:rsidR="00E326D4" w:rsidRPr="00501643" w:rsidTr="00501643">
        <w:trPr>
          <w:tblHeader/>
          <w:jc w:val="center"/>
        </w:trPr>
        <w:tc>
          <w:tcPr>
            <w:tcW w:w="456"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Web</w:t>
            </w:r>
          </w:p>
        </w:tc>
        <w:tc>
          <w:tcPr>
            <w:tcW w:w="795"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Received</w:t>
            </w:r>
          </w:p>
        </w:tc>
        <w:tc>
          <w:tcPr>
            <w:tcW w:w="0" w:type="auto"/>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Source</w:t>
            </w:r>
          </w:p>
        </w:tc>
        <w:tc>
          <w:tcPr>
            <w:tcW w:w="0" w:type="auto"/>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Title</w:t>
            </w:r>
          </w:p>
        </w:tc>
        <w:tc>
          <w:tcPr>
            <w:tcW w:w="701"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Questions</w:t>
            </w:r>
          </w:p>
        </w:tc>
      </w:tr>
      <w:tr w:rsidR="00E326D4" w:rsidRPr="00501643" w:rsidTr="00501643">
        <w:trPr>
          <w:jc w:val="center"/>
        </w:trPr>
        <w:tc>
          <w:tcPr>
            <w:tcW w:w="456"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501643" w:rsidRDefault="005F357A" w:rsidP="00501643">
            <w:pPr>
              <w:pStyle w:val="Tabletext"/>
              <w:spacing w:before="60" w:after="60"/>
            </w:pPr>
            <w:hyperlink r:id="rId80" w:history="1">
              <w:r w:rsidR="005D275B" w:rsidRPr="00DE4A3F">
                <w:rPr>
                  <w:rStyle w:val="Hyperlink"/>
                  <w:lang w:val="en-US"/>
                </w:rPr>
                <w:t>R0</w:t>
              </w:r>
            </w:hyperlink>
          </w:p>
        </w:tc>
        <w:tc>
          <w:tcPr>
            <w:tcW w:w="795" w:type="pct"/>
            <w:tcBorders>
              <w:top w:val="single" w:sz="2" w:space="0" w:color="auto"/>
              <w:left w:val="single" w:sz="2" w:space="0" w:color="auto"/>
              <w:bottom w:val="single" w:sz="2" w:space="0" w:color="auto"/>
              <w:right w:val="single" w:sz="2" w:space="0" w:color="auto"/>
            </w:tcBorders>
            <w:shd w:val="clear" w:color="auto" w:fill="E8F8FD"/>
            <w:noWrap/>
            <w:hideMark/>
          </w:tcPr>
          <w:p w:rsidR="00E326D4" w:rsidRPr="00501643" w:rsidRDefault="00E326D4" w:rsidP="00501643">
            <w:pPr>
              <w:pStyle w:val="Tabletext"/>
              <w:spacing w:before="60" w:after="60"/>
            </w:pPr>
            <w:r w:rsidRPr="00501643">
              <w:t>2010-09-16</w:t>
            </w:r>
          </w:p>
        </w:tc>
        <w:tc>
          <w:tcPr>
            <w:tcW w:w="1247"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501643" w:rsidRDefault="00E326D4" w:rsidP="00501643">
            <w:pPr>
              <w:pStyle w:val="Tabletext"/>
              <w:spacing w:before="60" w:after="60"/>
              <w:rPr>
                <w:lang w:val="en-US"/>
              </w:rPr>
            </w:pPr>
            <w:r w:rsidRPr="00501643">
              <w:rPr>
                <w:lang w:val="en-US"/>
              </w:rPr>
              <w:t>Co-Chairman of the Joint Group on Resolution 9</w:t>
            </w:r>
          </w:p>
        </w:tc>
        <w:tc>
          <w:tcPr>
            <w:tcW w:w="1802"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501643" w:rsidRDefault="00E326D4" w:rsidP="00501643">
            <w:pPr>
              <w:pStyle w:val="Tabletext"/>
              <w:spacing w:before="60" w:after="60"/>
              <w:rPr>
                <w:lang w:val="en-US"/>
              </w:rPr>
            </w:pPr>
            <w:r w:rsidRPr="00501643">
              <w:rPr>
                <w:lang w:val="en-US"/>
              </w:rPr>
              <w:t xml:space="preserve">Report of the Meeting of the Joint Group on Resolution 9 (Rev. Hyderabad, 2010), 16 September 2010  </w:t>
            </w:r>
          </w:p>
        </w:tc>
        <w:tc>
          <w:tcPr>
            <w:tcW w:w="701"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501643" w:rsidRDefault="00E326D4" w:rsidP="00501643">
            <w:pPr>
              <w:pStyle w:val="Tabletext"/>
              <w:spacing w:before="60" w:after="60"/>
            </w:pPr>
            <w:r w:rsidRPr="00501643">
              <w:t>RES. 9</w:t>
            </w:r>
          </w:p>
        </w:tc>
      </w:tr>
    </w:tbl>
    <w:p w:rsidR="00E326D4" w:rsidRPr="00E326D4" w:rsidRDefault="00E326D4" w:rsidP="00501643">
      <w:pPr>
        <w:spacing w:before="0"/>
        <w:rPr>
          <w:lang w:val="en-US"/>
        </w:rPr>
      </w:pPr>
    </w:p>
    <w:p w:rsidR="00E326D4" w:rsidRPr="00E326D4" w:rsidRDefault="00E326D4" w:rsidP="00E326D4">
      <w:pPr>
        <w:pStyle w:val="Heading1"/>
      </w:pPr>
      <w:bookmarkStart w:id="61" w:name="_Toc380408330"/>
      <w:r w:rsidRPr="00E326D4">
        <w:lastRenderedPageBreak/>
        <w:t>II</w:t>
      </w:r>
      <w:r>
        <w:tab/>
      </w:r>
      <w:r w:rsidRPr="00E326D4">
        <w:t>Meeting of Joint Group on Resolution 9 (6 and 7 June 2011)</w:t>
      </w:r>
      <w:bookmarkEnd w:id="61"/>
    </w:p>
    <w:p w:rsidR="00E326D4" w:rsidRDefault="00E326D4" w:rsidP="00E326D4">
      <w:pPr>
        <w:pStyle w:val="Heading2"/>
      </w:pPr>
      <w:bookmarkStart w:id="62" w:name="_Toc380408331"/>
      <w:r w:rsidRPr="00E326D4">
        <w:t>2.1</w:t>
      </w:r>
      <w:r>
        <w:tab/>
      </w:r>
      <w:r w:rsidRPr="00E326D4">
        <w:t>Agenda</w:t>
      </w:r>
      <w:bookmarkEnd w:id="62"/>
      <w:r w:rsidRPr="00E326D4">
        <w:t xml:space="preserve"> </w:t>
      </w:r>
    </w:p>
    <w:p w:rsidR="00E326D4" w:rsidRPr="00501643" w:rsidRDefault="00E326D4" w:rsidP="00E326D4">
      <w:pPr>
        <w:rPr>
          <w:sz w:val="6"/>
          <w:lang w:val="en-US"/>
        </w:rPr>
      </w:pP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807"/>
        <w:gridCol w:w="1530"/>
        <w:gridCol w:w="2199"/>
        <w:gridCol w:w="3302"/>
        <w:gridCol w:w="1234"/>
      </w:tblGrid>
      <w:tr w:rsidR="00E326D4" w:rsidRPr="00501643" w:rsidTr="00501643">
        <w:trPr>
          <w:tblHeader/>
          <w:jc w:val="center"/>
        </w:trPr>
        <w:tc>
          <w:tcPr>
            <w:tcW w:w="445"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Web</w:t>
            </w:r>
          </w:p>
        </w:tc>
        <w:tc>
          <w:tcPr>
            <w:tcW w:w="843"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Received</w:t>
            </w:r>
          </w:p>
        </w:tc>
        <w:tc>
          <w:tcPr>
            <w:tcW w:w="1212"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Source</w:t>
            </w:r>
          </w:p>
        </w:tc>
        <w:tc>
          <w:tcPr>
            <w:tcW w:w="1820"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Title</w:t>
            </w:r>
          </w:p>
        </w:tc>
        <w:tc>
          <w:tcPr>
            <w:tcW w:w="680"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Questions</w:t>
            </w:r>
          </w:p>
        </w:tc>
      </w:tr>
      <w:tr w:rsidR="00E326D4" w:rsidRPr="00501643" w:rsidTr="00501643">
        <w:trPr>
          <w:jc w:val="center"/>
        </w:trPr>
        <w:tc>
          <w:tcPr>
            <w:tcW w:w="445"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5D275B" w:rsidRDefault="005F357A" w:rsidP="00501643">
            <w:pPr>
              <w:spacing w:before="60" w:after="60"/>
              <w:jc w:val="left"/>
              <w:rPr>
                <w:sz w:val="19"/>
                <w:szCs w:val="19"/>
              </w:rPr>
            </w:pPr>
            <w:hyperlink r:id="rId81" w:history="1">
              <w:r w:rsidR="005D275B" w:rsidRPr="005D275B">
                <w:rPr>
                  <w:rStyle w:val="Hyperlink"/>
                  <w:sz w:val="19"/>
                  <w:szCs w:val="19"/>
                  <w:lang w:val="en-US"/>
                </w:rPr>
                <w:t xml:space="preserve">OJ 1 </w:t>
              </w:r>
            </w:hyperlink>
          </w:p>
        </w:tc>
        <w:tc>
          <w:tcPr>
            <w:tcW w:w="843" w:type="pct"/>
            <w:tcBorders>
              <w:top w:val="single" w:sz="2" w:space="0" w:color="auto"/>
              <w:left w:val="single" w:sz="2" w:space="0" w:color="auto"/>
              <w:bottom w:val="single" w:sz="2" w:space="0" w:color="auto"/>
              <w:right w:val="single" w:sz="2" w:space="0" w:color="auto"/>
            </w:tcBorders>
            <w:shd w:val="clear" w:color="auto" w:fill="E8F8FD"/>
            <w:noWrap/>
            <w:hideMark/>
          </w:tcPr>
          <w:p w:rsidR="00E326D4" w:rsidRPr="00501643" w:rsidRDefault="00E326D4" w:rsidP="00501643">
            <w:pPr>
              <w:spacing w:before="60" w:after="60"/>
              <w:jc w:val="left"/>
              <w:rPr>
                <w:sz w:val="19"/>
                <w:szCs w:val="19"/>
              </w:rPr>
            </w:pPr>
            <w:r w:rsidRPr="00501643">
              <w:rPr>
                <w:sz w:val="19"/>
                <w:szCs w:val="19"/>
              </w:rPr>
              <w:t xml:space="preserve">2011-03-16 </w:t>
            </w:r>
          </w:p>
        </w:tc>
        <w:tc>
          <w:tcPr>
            <w:tcW w:w="1212"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250D23" w:rsidRDefault="005F357A" w:rsidP="00501643">
            <w:pPr>
              <w:spacing w:before="60" w:after="60"/>
              <w:jc w:val="left"/>
              <w:rPr>
                <w:sz w:val="19"/>
                <w:szCs w:val="19"/>
                <w:lang w:val="en-US"/>
              </w:rPr>
            </w:pPr>
            <w:hyperlink r:id="rId82" w:history="1">
              <w:r w:rsidR="00E326D4" w:rsidRPr="005D275B">
                <w:rPr>
                  <w:rStyle w:val="Hyperlink"/>
                  <w:sz w:val="19"/>
                  <w:szCs w:val="19"/>
                  <w:lang w:val="en-US"/>
                </w:rPr>
                <w:t>ITU-D Co-Chairman, Joint Group on Resolution 9</w:t>
              </w:r>
            </w:hyperlink>
          </w:p>
        </w:tc>
        <w:tc>
          <w:tcPr>
            <w:tcW w:w="1820"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250D23" w:rsidRDefault="00E326D4" w:rsidP="00501643">
            <w:pPr>
              <w:pStyle w:val="Tabletext"/>
              <w:spacing w:before="60" w:after="60"/>
              <w:rPr>
                <w:lang w:val="en-US"/>
              </w:rPr>
            </w:pPr>
            <w:r w:rsidRPr="00250D23">
              <w:rPr>
                <w:lang w:val="en-US"/>
              </w:rPr>
              <w:t>Draft agenda of the meeting of the Joint Group on Resolution 9 (Geneva, Monday, 6 June 2011 - Tuesday, 7 June 2011)    </w:t>
            </w:r>
          </w:p>
        </w:tc>
        <w:tc>
          <w:tcPr>
            <w:tcW w:w="680"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501643" w:rsidRDefault="00E326D4" w:rsidP="00501643">
            <w:pPr>
              <w:spacing w:before="60" w:after="60"/>
              <w:jc w:val="left"/>
              <w:rPr>
                <w:sz w:val="19"/>
                <w:szCs w:val="19"/>
              </w:rPr>
            </w:pPr>
            <w:r w:rsidRPr="00501643">
              <w:rPr>
                <w:sz w:val="19"/>
                <w:szCs w:val="19"/>
              </w:rPr>
              <w:t>RES9</w:t>
            </w:r>
          </w:p>
        </w:tc>
      </w:tr>
    </w:tbl>
    <w:p w:rsidR="00E326D4" w:rsidRDefault="00E326D4" w:rsidP="00E326D4">
      <w:pPr>
        <w:pStyle w:val="Heading2"/>
      </w:pPr>
      <w:bookmarkStart w:id="63" w:name="_Toc380408332"/>
      <w:r w:rsidRPr="00E326D4">
        <w:t>2.2</w:t>
      </w:r>
      <w:r>
        <w:tab/>
      </w:r>
      <w:r w:rsidRPr="00E326D4">
        <w:t>Contributions</w:t>
      </w:r>
      <w:bookmarkEnd w:id="63"/>
    </w:p>
    <w:p w:rsidR="00E326D4" w:rsidRPr="00501643" w:rsidRDefault="00E326D4" w:rsidP="00E326D4">
      <w:pPr>
        <w:rPr>
          <w:rFonts w:cs="Times New Roman Bold"/>
          <w:b/>
          <w:bCs/>
          <w:sz w:val="6"/>
          <w:szCs w:val="21"/>
        </w:rPr>
      </w:pP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809"/>
        <w:gridCol w:w="1308"/>
        <w:gridCol w:w="2350"/>
        <w:gridCol w:w="3242"/>
        <w:gridCol w:w="1363"/>
      </w:tblGrid>
      <w:tr w:rsidR="00E326D4" w:rsidRPr="00501643" w:rsidTr="00501643">
        <w:trPr>
          <w:tblHeader/>
          <w:jc w:val="center"/>
        </w:trPr>
        <w:tc>
          <w:tcPr>
            <w:tcW w:w="446"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Web</w:t>
            </w:r>
          </w:p>
        </w:tc>
        <w:tc>
          <w:tcPr>
            <w:tcW w:w="721"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Received</w:t>
            </w:r>
          </w:p>
        </w:tc>
        <w:tc>
          <w:tcPr>
            <w:tcW w:w="1295"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Source</w:t>
            </w:r>
          </w:p>
        </w:tc>
        <w:tc>
          <w:tcPr>
            <w:tcW w:w="1787"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Title</w:t>
            </w:r>
          </w:p>
        </w:tc>
        <w:tc>
          <w:tcPr>
            <w:tcW w:w="751"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Questions</w:t>
            </w:r>
          </w:p>
        </w:tc>
      </w:tr>
      <w:tr w:rsidR="005D275B" w:rsidRPr="00501643" w:rsidTr="00501643">
        <w:trPr>
          <w:jc w:val="center"/>
        </w:trPr>
        <w:tc>
          <w:tcPr>
            <w:tcW w:w="446"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D275B" w:rsidRDefault="005F357A" w:rsidP="00677508">
            <w:pPr>
              <w:pStyle w:val="Tabletext"/>
            </w:pPr>
            <w:hyperlink r:id="rId83" w:history="1">
              <w:r w:rsidR="005D275B" w:rsidRPr="005D275B">
                <w:rPr>
                  <w:rStyle w:val="Hyperlink"/>
                  <w:lang w:val="en-US"/>
                </w:rPr>
                <w:t>C 1</w:t>
              </w:r>
            </w:hyperlink>
          </w:p>
        </w:tc>
        <w:tc>
          <w:tcPr>
            <w:tcW w:w="721" w:type="pct"/>
            <w:tcBorders>
              <w:top w:val="single" w:sz="2" w:space="0" w:color="auto"/>
              <w:left w:val="single" w:sz="2" w:space="0" w:color="auto"/>
              <w:bottom w:val="single" w:sz="2" w:space="0" w:color="auto"/>
              <w:right w:val="single" w:sz="2" w:space="0" w:color="auto"/>
            </w:tcBorders>
            <w:shd w:val="clear" w:color="auto" w:fill="E8F8FD"/>
            <w:noWrap/>
            <w:hideMark/>
          </w:tcPr>
          <w:p w:rsidR="005D275B" w:rsidRPr="00501643" w:rsidRDefault="005D275B" w:rsidP="00501643">
            <w:pPr>
              <w:pStyle w:val="Tabletext"/>
            </w:pPr>
            <w:r w:rsidRPr="00501643">
              <w:t>2011-03-16</w:t>
            </w:r>
          </w:p>
        </w:tc>
        <w:tc>
          <w:tcPr>
            <w:tcW w:w="1295"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250D23" w:rsidRDefault="005D275B" w:rsidP="00501643">
            <w:pPr>
              <w:pStyle w:val="Tabletext"/>
              <w:rPr>
                <w:lang w:val="en-US"/>
              </w:rPr>
            </w:pPr>
            <w:r w:rsidRPr="00250D23">
              <w:rPr>
                <w:lang w:val="en-US"/>
              </w:rPr>
              <w:t>ITU</w:t>
            </w:r>
            <w:r w:rsidRPr="00250D23">
              <w:rPr>
                <w:lang w:val="en-US"/>
              </w:rPr>
              <w:noBreakHyphen/>
              <w:t>D Co-Chairman of the Joint Group on Resolution 9</w:t>
            </w:r>
          </w:p>
        </w:tc>
        <w:tc>
          <w:tcPr>
            <w:tcW w:w="1787"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250D23" w:rsidRDefault="005D275B" w:rsidP="00501643">
            <w:pPr>
              <w:pStyle w:val="Tabletext"/>
              <w:rPr>
                <w:lang w:val="en-US"/>
              </w:rPr>
            </w:pPr>
            <w:r w:rsidRPr="00250D23">
              <w:rPr>
                <w:lang w:val="en-US"/>
              </w:rPr>
              <w:t xml:space="preserve">Draft agenda of the meeting of the Joint Group on Resolution 9, </w:t>
            </w:r>
            <w:r w:rsidRPr="00250D23">
              <w:rPr>
                <w:lang w:val="en-US"/>
              </w:rPr>
              <w:br/>
              <w:t xml:space="preserve">Monday, 6 June 2011, 0930 – 1230 hours and 1430 – 1730 hours, and </w:t>
            </w:r>
            <w:r w:rsidRPr="00250D23">
              <w:rPr>
                <w:lang w:val="en-US"/>
              </w:rPr>
              <w:br/>
              <w:t>Tuesday, 7 June 2011, 0930 – 1230 hours and 1430 – 1730 hours</w:t>
            </w:r>
          </w:p>
        </w:tc>
        <w:tc>
          <w:tcPr>
            <w:tcW w:w="751"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pPr>
            <w:r w:rsidRPr="00501643">
              <w:t>RES.9</w:t>
            </w:r>
          </w:p>
        </w:tc>
      </w:tr>
      <w:tr w:rsidR="005D275B" w:rsidRPr="00501643" w:rsidTr="00501643">
        <w:trPr>
          <w:jc w:val="center"/>
        </w:trPr>
        <w:tc>
          <w:tcPr>
            <w:tcW w:w="446" w:type="pct"/>
            <w:tcBorders>
              <w:top w:val="single" w:sz="2" w:space="0" w:color="auto"/>
              <w:left w:val="single" w:sz="2" w:space="0" w:color="auto"/>
              <w:bottom w:val="single" w:sz="2" w:space="0" w:color="auto"/>
              <w:right w:val="single" w:sz="2" w:space="0" w:color="auto"/>
            </w:tcBorders>
            <w:hideMark/>
          </w:tcPr>
          <w:p w:rsidR="005D275B" w:rsidRPr="005D275B" w:rsidRDefault="005F357A" w:rsidP="005D275B">
            <w:pPr>
              <w:pStyle w:val="Tabletext"/>
            </w:pPr>
            <w:hyperlink r:id="rId84" w:history="1">
              <w:r w:rsidR="005D275B" w:rsidRPr="005D275B">
                <w:rPr>
                  <w:rStyle w:val="Hyperlink"/>
                  <w:lang w:val="en-US"/>
                </w:rPr>
                <w:t>C 2</w:t>
              </w:r>
            </w:hyperlink>
          </w:p>
        </w:tc>
        <w:tc>
          <w:tcPr>
            <w:tcW w:w="721" w:type="pct"/>
            <w:tcBorders>
              <w:top w:val="single" w:sz="2" w:space="0" w:color="auto"/>
              <w:left w:val="single" w:sz="2" w:space="0" w:color="auto"/>
              <w:bottom w:val="single" w:sz="2" w:space="0" w:color="auto"/>
              <w:right w:val="single" w:sz="2" w:space="0" w:color="auto"/>
            </w:tcBorders>
            <w:noWrap/>
            <w:hideMark/>
          </w:tcPr>
          <w:p w:rsidR="005D275B" w:rsidRPr="00501643" w:rsidRDefault="005D275B" w:rsidP="00501643">
            <w:pPr>
              <w:pStyle w:val="Tabletext"/>
            </w:pPr>
            <w:r w:rsidRPr="00501643">
              <w:t>2011-04-21</w:t>
            </w:r>
          </w:p>
        </w:tc>
        <w:tc>
          <w:tcPr>
            <w:tcW w:w="1295" w:type="pct"/>
            <w:tcBorders>
              <w:top w:val="single" w:sz="2" w:space="0" w:color="auto"/>
              <w:left w:val="single" w:sz="2" w:space="0" w:color="auto"/>
              <w:bottom w:val="single" w:sz="2" w:space="0" w:color="auto"/>
              <w:right w:val="single" w:sz="2" w:space="0" w:color="auto"/>
            </w:tcBorders>
            <w:hideMark/>
          </w:tcPr>
          <w:p w:rsidR="005D275B" w:rsidRPr="00501643" w:rsidRDefault="005D275B" w:rsidP="00501643">
            <w:pPr>
              <w:pStyle w:val="Tabletext"/>
            </w:pPr>
            <w:r w:rsidRPr="00501643">
              <w:t>Maldives</w:t>
            </w:r>
          </w:p>
        </w:tc>
        <w:tc>
          <w:tcPr>
            <w:tcW w:w="1787" w:type="pct"/>
            <w:tcBorders>
              <w:top w:val="single" w:sz="2" w:space="0" w:color="auto"/>
              <w:left w:val="single" w:sz="2" w:space="0" w:color="auto"/>
              <w:bottom w:val="single" w:sz="2" w:space="0" w:color="auto"/>
              <w:right w:val="single" w:sz="2" w:space="0" w:color="auto"/>
            </w:tcBorders>
            <w:hideMark/>
          </w:tcPr>
          <w:p w:rsidR="005D275B" w:rsidRPr="00501643" w:rsidRDefault="005D275B" w:rsidP="00501643">
            <w:pPr>
              <w:pStyle w:val="Tabletext"/>
            </w:pPr>
            <w:r w:rsidRPr="00501643">
              <w:t>Spectrum Fees</w:t>
            </w:r>
          </w:p>
        </w:tc>
        <w:tc>
          <w:tcPr>
            <w:tcW w:w="751" w:type="pct"/>
            <w:tcBorders>
              <w:top w:val="single" w:sz="2" w:space="0" w:color="auto"/>
              <w:left w:val="single" w:sz="2" w:space="0" w:color="auto"/>
              <w:bottom w:val="single" w:sz="2" w:space="0" w:color="auto"/>
              <w:right w:val="single" w:sz="2" w:space="0" w:color="auto"/>
            </w:tcBorders>
            <w:hideMark/>
          </w:tcPr>
          <w:p w:rsidR="005D275B" w:rsidRPr="00501643" w:rsidRDefault="005D275B" w:rsidP="00501643">
            <w:pPr>
              <w:pStyle w:val="Tabletext"/>
            </w:pPr>
            <w:r w:rsidRPr="00501643">
              <w:t>RES.9</w:t>
            </w:r>
          </w:p>
        </w:tc>
      </w:tr>
      <w:tr w:rsidR="005D275B" w:rsidRPr="00501643" w:rsidTr="00501643">
        <w:trPr>
          <w:jc w:val="center"/>
        </w:trPr>
        <w:tc>
          <w:tcPr>
            <w:tcW w:w="446"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D275B" w:rsidRDefault="005F357A" w:rsidP="009B4A23">
            <w:pPr>
              <w:spacing w:before="60" w:after="60"/>
              <w:rPr>
                <w:sz w:val="19"/>
                <w:szCs w:val="19"/>
              </w:rPr>
            </w:pPr>
            <w:hyperlink r:id="rId85" w:history="1">
              <w:r w:rsidR="005D275B" w:rsidRPr="005D275B">
                <w:rPr>
                  <w:rStyle w:val="Hyperlink"/>
                  <w:sz w:val="19"/>
                  <w:szCs w:val="19"/>
                  <w:lang w:val="en-US"/>
                </w:rPr>
                <w:t>C 3</w:t>
              </w:r>
            </w:hyperlink>
          </w:p>
        </w:tc>
        <w:tc>
          <w:tcPr>
            <w:tcW w:w="721" w:type="pct"/>
            <w:tcBorders>
              <w:top w:val="single" w:sz="2" w:space="0" w:color="auto"/>
              <w:left w:val="single" w:sz="2" w:space="0" w:color="auto"/>
              <w:bottom w:val="single" w:sz="2" w:space="0" w:color="auto"/>
              <w:right w:val="single" w:sz="2" w:space="0" w:color="auto"/>
            </w:tcBorders>
            <w:shd w:val="clear" w:color="auto" w:fill="E8F8FD"/>
            <w:noWrap/>
            <w:hideMark/>
          </w:tcPr>
          <w:p w:rsidR="005D275B" w:rsidRPr="00501643" w:rsidRDefault="005D275B" w:rsidP="00501643">
            <w:pPr>
              <w:pStyle w:val="Tabletext"/>
            </w:pPr>
            <w:r w:rsidRPr="00501643">
              <w:t>2011-05-27</w:t>
            </w:r>
          </w:p>
        </w:tc>
        <w:tc>
          <w:tcPr>
            <w:tcW w:w="1295"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pPr>
            <w:r w:rsidRPr="00501643">
              <w:t>Gambia</w:t>
            </w:r>
          </w:p>
        </w:tc>
        <w:tc>
          <w:tcPr>
            <w:tcW w:w="1787"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250D23" w:rsidRDefault="005D275B" w:rsidP="00501643">
            <w:pPr>
              <w:pStyle w:val="Tabletext"/>
              <w:rPr>
                <w:lang w:val="en-US"/>
              </w:rPr>
            </w:pPr>
            <w:r w:rsidRPr="00250D23">
              <w:rPr>
                <w:lang w:val="en-US"/>
              </w:rPr>
              <w:t>Proposed Fees Structure for the Gambia</w:t>
            </w:r>
          </w:p>
        </w:tc>
        <w:tc>
          <w:tcPr>
            <w:tcW w:w="751"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pPr>
            <w:r w:rsidRPr="00501643">
              <w:t>RES.9</w:t>
            </w:r>
          </w:p>
        </w:tc>
      </w:tr>
      <w:tr w:rsidR="005D275B" w:rsidRPr="00501643" w:rsidTr="00501643">
        <w:trPr>
          <w:jc w:val="center"/>
        </w:trPr>
        <w:tc>
          <w:tcPr>
            <w:tcW w:w="446" w:type="pct"/>
            <w:tcBorders>
              <w:top w:val="single" w:sz="2" w:space="0" w:color="auto"/>
              <w:left w:val="single" w:sz="2" w:space="0" w:color="auto"/>
              <w:bottom w:val="single" w:sz="2" w:space="0" w:color="auto"/>
              <w:right w:val="single" w:sz="2" w:space="0" w:color="auto"/>
            </w:tcBorders>
            <w:hideMark/>
          </w:tcPr>
          <w:p w:rsidR="005D275B" w:rsidRPr="005D275B" w:rsidRDefault="005F357A" w:rsidP="005D275B">
            <w:pPr>
              <w:pStyle w:val="Tabletext"/>
            </w:pPr>
            <w:hyperlink r:id="rId86" w:history="1">
              <w:r w:rsidR="005D275B" w:rsidRPr="005D275B">
                <w:rPr>
                  <w:rStyle w:val="Hyperlink"/>
                  <w:lang w:val="en-US"/>
                </w:rPr>
                <w:t>C 4</w:t>
              </w:r>
            </w:hyperlink>
          </w:p>
        </w:tc>
        <w:tc>
          <w:tcPr>
            <w:tcW w:w="721" w:type="pct"/>
            <w:tcBorders>
              <w:top w:val="single" w:sz="2" w:space="0" w:color="auto"/>
              <w:left w:val="single" w:sz="2" w:space="0" w:color="auto"/>
              <w:bottom w:val="single" w:sz="2" w:space="0" w:color="auto"/>
              <w:right w:val="single" w:sz="2" w:space="0" w:color="auto"/>
            </w:tcBorders>
            <w:noWrap/>
            <w:hideMark/>
          </w:tcPr>
          <w:p w:rsidR="005D275B" w:rsidRPr="00501643" w:rsidRDefault="005D275B" w:rsidP="00501643">
            <w:pPr>
              <w:pStyle w:val="Tabletext"/>
            </w:pPr>
            <w:r w:rsidRPr="00501643">
              <w:t>2011-05-30</w:t>
            </w:r>
          </w:p>
        </w:tc>
        <w:tc>
          <w:tcPr>
            <w:tcW w:w="1295" w:type="pct"/>
            <w:tcBorders>
              <w:top w:val="single" w:sz="2" w:space="0" w:color="auto"/>
              <w:left w:val="single" w:sz="2" w:space="0" w:color="auto"/>
              <w:bottom w:val="single" w:sz="2" w:space="0" w:color="auto"/>
              <w:right w:val="single" w:sz="2" w:space="0" w:color="auto"/>
            </w:tcBorders>
            <w:hideMark/>
          </w:tcPr>
          <w:p w:rsidR="005D275B" w:rsidRPr="00501643" w:rsidRDefault="005D275B" w:rsidP="00501643">
            <w:pPr>
              <w:pStyle w:val="Tabletext"/>
            </w:pPr>
            <w:r w:rsidRPr="00501643">
              <w:t>Co-Présidente du Groupe de travail sur la Résolution 9</w:t>
            </w:r>
          </w:p>
        </w:tc>
        <w:tc>
          <w:tcPr>
            <w:tcW w:w="1787" w:type="pct"/>
            <w:tcBorders>
              <w:top w:val="single" w:sz="2" w:space="0" w:color="auto"/>
              <w:left w:val="single" w:sz="2" w:space="0" w:color="auto"/>
              <w:bottom w:val="single" w:sz="2" w:space="0" w:color="auto"/>
              <w:right w:val="single" w:sz="2" w:space="0" w:color="auto"/>
            </w:tcBorders>
            <w:hideMark/>
          </w:tcPr>
          <w:p w:rsidR="005D275B" w:rsidRPr="00501643" w:rsidRDefault="005D275B" w:rsidP="00501643">
            <w:pPr>
              <w:pStyle w:val="Tabletext"/>
            </w:pPr>
            <w:r w:rsidRPr="00501643">
              <w:t>Projet de Rapport intermédiaire</w:t>
            </w:r>
          </w:p>
        </w:tc>
        <w:tc>
          <w:tcPr>
            <w:tcW w:w="751" w:type="pct"/>
            <w:tcBorders>
              <w:top w:val="single" w:sz="2" w:space="0" w:color="auto"/>
              <w:left w:val="single" w:sz="2" w:space="0" w:color="auto"/>
              <w:bottom w:val="single" w:sz="2" w:space="0" w:color="auto"/>
              <w:right w:val="single" w:sz="2" w:space="0" w:color="auto"/>
            </w:tcBorders>
            <w:hideMark/>
          </w:tcPr>
          <w:p w:rsidR="005D275B" w:rsidRPr="00501643" w:rsidRDefault="005D275B" w:rsidP="00501643">
            <w:pPr>
              <w:pStyle w:val="Tabletext"/>
            </w:pPr>
            <w:r w:rsidRPr="00501643">
              <w:t>RES.9</w:t>
            </w:r>
          </w:p>
        </w:tc>
      </w:tr>
      <w:tr w:rsidR="005D275B" w:rsidRPr="00501643" w:rsidTr="00501643">
        <w:trPr>
          <w:jc w:val="center"/>
        </w:trPr>
        <w:tc>
          <w:tcPr>
            <w:tcW w:w="446"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D275B" w:rsidRDefault="005F357A" w:rsidP="005D275B">
            <w:pPr>
              <w:pStyle w:val="Tabletext"/>
            </w:pPr>
            <w:hyperlink r:id="rId87" w:history="1">
              <w:r w:rsidR="005D275B" w:rsidRPr="005D275B">
                <w:rPr>
                  <w:rStyle w:val="Hyperlink"/>
                  <w:lang w:val="en-US"/>
                </w:rPr>
                <w:t>C 5</w:t>
              </w:r>
            </w:hyperlink>
          </w:p>
        </w:tc>
        <w:tc>
          <w:tcPr>
            <w:tcW w:w="721" w:type="pct"/>
            <w:tcBorders>
              <w:top w:val="single" w:sz="2" w:space="0" w:color="auto"/>
              <w:left w:val="single" w:sz="2" w:space="0" w:color="auto"/>
              <w:bottom w:val="single" w:sz="2" w:space="0" w:color="auto"/>
              <w:right w:val="single" w:sz="2" w:space="0" w:color="auto"/>
            </w:tcBorders>
            <w:shd w:val="clear" w:color="auto" w:fill="E8F8FD"/>
            <w:noWrap/>
            <w:hideMark/>
          </w:tcPr>
          <w:p w:rsidR="005D275B" w:rsidRPr="00501643" w:rsidRDefault="005D275B" w:rsidP="00501643">
            <w:pPr>
              <w:pStyle w:val="Tabletext"/>
            </w:pPr>
            <w:r w:rsidRPr="00501643">
              <w:t>2022-06-01</w:t>
            </w:r>
          </w:p>
        </w:tc>
        <w:tc>
          <w:tcPr>
            <w:tcW w:w="1295"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250D23" w:rsidRDefault="005D275B" w:rsidP="00501643">
            <w:pPr>
              <w:pStyle w:val="Tabletext"/>
              <w:rPr>
                <w:lang w:val="en-US"/>
              </w:rPr>
            </w:pPr>
            <w:r w:rsidRPr="00250D23">
              <w:rPr>
                <w:lang w:val="en-US"/>
              </w:rPr>
              <w:t>BDT Focal Point for Resolution 9</w:t>
            </w:r>
          </w:p>
        </w:tc>
        <w:tc>
          <w:tcPr>
            <w:tcW w:w="1787"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250D23" w:rsidRDefault="005D275B" w:rsidP="00501643">
            <w:pPr>
              <w:pStyle w:val="Tabletext"/>
              <w:rPr>
                <w:lang w:val="en-US"/>
              </w:rPr>
            </w:pPr>
            <w:r w:rsidRPr="00250D23">
              <w:rPr>
                <w:lang w:val="en-US"/>
              </w:rPr>
              <w:t>Resolution 9 and BDT activities on spectrum management</w:t>
            </w:r>
          </w:p>
        </w:tc>
        <w:tc>
          <w:tcPr>
            <w:tcW w:w="751"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pPr>
            <w:r w:rsidRPr="00501643">
              <w:t>RES.9</w:t>
            </w:r>
          </w:p>
        </w:tc>
      </w:tr>
      <w:tr w:rsidR="005D275B" w:rsidRPr="00501643" w:rsidTr="00501643">
        <w:trPr>
          <w:jc w:val="center"/>
        </w:trPr>
        <w:tc>
          <w:tcPr>
            <w:tcW w:w="446" w:type="pct"/>
            <w:tcBorders>
              <w:top w:val="single" w:sz="2" w:space="0" w:color="auto"/>
              <w:left w:val="single" w:sz="2" w:space="0" w:color="auto"/>
              <w:bottom w:val="single" w:sz="2" w:space="0" w:color="auto"/>
              <w:right w:val="single" w:sz="2" w:space="0" w:color="auto"/>
            </w:tcBorders>
            <w:hideMark/>
          </w:tcPr>
          <w:p w:rsidR="005D275B" w:rsidRPr="005D275B" w:rsidRDefault="005F357A" w:rsidP="005D275B">
            <w:pPr>
              <w:pStyle w:val="Tabletext"/>
            </w:pPr>
            <w:hyperlink r:id="rId88" w:history="1">
              <w:r w:rsidR="005D275B" w:rsidRPr="005D275B">
                <w:rPr>
                  <w:rStyle w:val="Hyperlink"/>
                  <w:lang w:val="en-US"/>
                </w:rPr>
                <w:t>C 6</w:t>
              </w:r>
            </w:hyperlink>
          </w:p>
        </w:tc>
        <w:tc>
          <w:tcPr>
            <w:tcW w:w="721" w:type="pct"/>
            <w:tcBorders>
              <w:top w:val="single" w:sz="2" w:space="0" w:color="auto"/>
              <w:left w:val="single" w:sz="2" w:space="0" w:color="auto"/>
              <w:bottom w:val="single" w:sz="2" w:space="0" w:color="auto"/>
              <w:right w:val="single" w:sz="2" w:space="0" w:color="auto"/>
            </w:tcBorders>
            <w:noWrap/>
            <w:hideMark/>
          </w:tcPr>
          <w:p w:rsidR="005D275B" w:rsidRPr="00501643" w:rsidRDefault="005D275B" w:rsidP="00501643">
            <w:pPr>
              <w:pStyle w:val="Tabletext"/>
            </w:pPr>
            <w:r w:rsidRPr="00501643">
              <w:t>2011-06-01</w:t>
            </w:r>
          </w:p>
        </w:tc>
        <w:tc>
          <w:tcPr>
            <w:tcW w:w="1295" w:type="pct"/>
            <w:tcBorders>
              <w:top w:val="single" w:sz="2" w:space="0" w:color="auto"/>
              <w:left w:val="single" w:sz="2" w:space="0" w:color="auto"/>
              <w:bottom w:val="single" w:sz="2" w:space="0" w:color="auto"/>
              <w:right w:val="single" w:sz="2" w:space="0" w:color="auto"/>
            </w:tcBorders>
            <w:hideMark/>
          </w:tcPr>
          <w:p w:rsidR="005D275B" w:rsidRPr="00250D23" w:rsidRDefault="005D275B" w:rsidP="00501643">
            <w:pPr>
              <w:pStyle w:val="Tabletext"/>
              <w:rPr>
                <w:lang w:val="en-US"/>
              </w:rPr>
            </w:pPr>
            <w:r w:rsidRPr="00250D23">
              <w:rPr>
                <w:lang w:val="en-US"/>
              </w:rPr>
              <w:t>Dem. Rep. of the Congo</w:t>
            </w:r>
          </w:p>
        </w:tc>
        <w:tc>
          <w:tcPr>
            <w:tcW w:w="1787" w:type="pct"/>
            <w:tcBorders>
              <w:top w:val="single" w:sz="2" w:space="0" w:color="auto"/>
              <w:left w:val="single" w:sz="2" w:space="0" w:color="auto"/>
              <w:bottom w:val="single" w:sz="2" w:space="0" w:color="auto"/>
              <w:right w:val="single" w:sz="2" w:space="0" w:color="auto"/>
            </w:tcBorders>
            <w:hideMark/>
          </w:tcPr>
          <w:p w:rsidR="005D275B" w:rsidRPr="00501643" w:rsidRDefault="005D275B" w:rsidP="00501643">
            <w:pPr>
              <w:pStyle w:val="Tabletext"/>
            </w:pPr>
            <w:r w:rsidRPr="00501643">
              <w:t>Gestion du spectre et méthodes de calcul des redevances d'utilisation du spectre en RDC</w:t>
            </w:r>
          </w:p>
        </w:tc>
        <w:tc>
          <w:tcPr>
            <w:tcW w:w="751" w:type="pct"/>
            <w:tcBorders>
              <w:top w:val="single" w:sz="2" w:space="0" w:color="auto"/>
              <w:left w:val="single" w:sz="2" w:space="0" w:color="auto"/>
              <w:bottom w:val="single" w:sz="2" w:space="0" w:color="auto"/>
              <w:right w:val="single" w:sz="2" w:space="0" w:color="auto"/>
            </w:tcBorders>
            <w:hideMark/>
          </w:tcPr>
          <w:p w:rsidR="005D275B" w:rsidRPr="00501643" w:rsidRDefault="005D275B" w:rsidP="00501643">
            <w:pPr>
              <w:pStyle w:val="Tabletext"/>
            </w:pPr>
            <w:r w:rsidRPr="00501643">
              <w:t>RES.9</w:t>
            </w:r>
          </w:p>
        </w:tc>
      </w:tr>
      <w:tr w:rsidR="005D275B" w:rsidRPr="00501643" w:rsidTr="00501643">
        <w:trPr>
          <w:jc w:val="center"/>
        </w:trPr>
        <w:tc>
          <w:tcPr>
            <w:tcW w:w="446"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D275B" w:rsidRDefault="005F357A" w:rsidP="005D275B">
            <w:pPr>
              <w:pStyle w:val="Tabletext"/>
            </w:pPr>
            <w:hyperlink r:id="rId89" w:history="1">
              <w:r w:rsidR="005D275B" w:rsidRPr="005D275B">
                <w:rPr>
                  <w:rStyle w:val="Hyperlink"/>
                  <w:lang w:val="en-US"/>
                </w:rPr>
                <w:t>C 7</w:t>
              </w:r>
            </w:hyperlink>
          </w:p>
        </w:tc>
        <w:tc>
          <w:tcPr>
            <w:tcW w:w="721" w:type="pct"/>
            <w:tcBorders>
              <w:top w:val="single" w:sz="2" w:space="0" w:color="auto"/>
              <w:left w:val="single" w:sz="2" w:space="0" w:color="auto"/>
              <w:bottom w:val="single" w:sz="2" w:space="0" w:color="auto"/>
              <w:right w:val="single" w:sz="2" w:space="0" w:color="auto"/>
            </w:tcBorders>
            <w:shd w:val="clear" w:color="auto" w:fill="E8F8FD"/>
            <w:noWrap/>
            <w:hideMark/>
          </w:tcPr>
          <w:p w:rsidR="005D275B" w:rsidRPr="00501643" w:rsidRDefault="005D275B" w:rsidP="00501643">
            <w:pPr>
              <w:pStyle w:val="Tabletext"/>
            </w:pPr>
            <w:r w:rsidRPr="00501643">
              <w:t>2011-06-03</w:t>
            </w:r>
          </w:p>
        </w:tc>
        <w:tc>
          <w:tcPr>
            <w:tcW w:w="1295"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250D23" w:rsidRDefault="005D275B" w:rsidP="00501643">
            <w:pPr>
              <w:pStyle w:val="Tabletext"/>
              <w:rPr>
                <w:lang w:val="en-US"/>
              </w:rPr>
            </w:pPr>
            <w:r w:rsidRPr="00250D23">
              <w:rPr>
                <w:lang w:val="en-US"/>
              </w:rPr>
              <w:t>BR Focal Point for Resolution 9</w:t>
            </w:r>
          </w:p>
        </w:tc>
        <w:tc>
          <w:tcPr>
            <w:tcW w:w="1787"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250D23" w:rsidRDefault="005D275B" w:rsidP="00501643">
            <w:pPr>
              <w:pStyle w:val="Tabletext"/>
              <w:rPr>
                <w:lang w:val="en-US"/>
              </w:rPr>
            </w:pPr>
            <w:r w:rsidRPr="00250D23">
              <w:rPr>
                <w:lang w:val="en-US"/>
              </w:rPr>
              <w:t>Preparations for RA-12 and WRC</w:t>
            </w:r>
            <w:r w:rsidRPr="00250D23">
              <w:rPr>
                <w:lang w:val="en-US"/>
              </w:rPr>
              <w:noBreakHyphen/>
              <w:t>12</w:t>
            </w:r>
          </w:p>
        </w:tc>
        <w:tc>
          <w:tcPr>
            <w:tcW w:w="751"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pPr>
            <w:r w:rsidRPr="00501643">
              <w:t>RES.9</w:t>
            </w:r>
          </w:p>
        </w:tc>
      </w:tr>
    </w:tbl>
    <w:p w:rsidR="00E326D4" w:rsidRDefault="00E326D4" w:rsidP="009D334A">
      <w:pPr>
        <w:spacing w:before="0"/>
        <w:rPr>
          <w:b/>
          <w:bCs/>
          <w:szCs w:val="21"/>
        </w:rPr>
      </w:pPr>
    </w:p>
    <w:p w:rsidR="00E326D4" w:rsidRDefault="00E326D4" w:rsidP="00E326D4">
      <w:pPr>
        <w:pStyle w:val="Heading2"/>
      </w:pPr>
      <w:bookmarkStart w:id="64" w:name="_Toc380408333"/>
      <w:r w:rsidRPr="00E326D4">
        <w:t>2.3</w:t>
      </w:r>
      <w:r>
        <w:tab/>
      </w:r>
      <w:r w:rsidRPr="00E326D4">
        <w:t>Information documents</w:t>
      </w:r>
      <w:bookmarkEnd w:id="64"/>
    </w:p>
    <w:p w:rsidR="00E326D4" w:rsidRPr="00501643" w:rsidRDefault="00E326D4" w:rsidP="00E326D4">
      <w:pPr>
        <w:rPr>
          <w:rFonts w:cs="Times New Roman Bold"/>
          <w:b/>
          <w:bCs/>
          <w:sz w:val="6"/>
          <w:szCs w:val="21"/>
        </w:rPr>
      </w:pP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810"/>
        <w:gridCol w:w="1356"/>
        <w:gridCol w:w="2167"/>
        <w:gridCol w:w="3387"/>
        <w:gridCol w:w="1352"/>
      </w:tblGrid>
      <w:tr w:rsidR="00E326D4" w:rsidRPr="00501643" w:rsidTr="00501643">
        <w:trPr>
          <w:tblHeader/>
          <w:jc w:val="center"/>
        </w:trPr>
        <w:tc>
          <w:tcPr>
            <w:tcW w:w="446"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Web</w:t>
            </w:r>
          </w:p>
        </w:tc>
        <w:tc>
          <w:tcPr>
            <w:tcW w:w="747"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Received</w:t>
            </w:r>
          </w:p>
        </w:tc>
        <w:tc>
          <w:tcPr>
            <w:tcW w:w="1194"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Source</w:t>
            </w:r>
          </w:p>
        </w:tc>
        <w:tc>
          <w:tcPr>
            <w:tcW w:w="1867"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Title</w:t>
            </w:r>
          </w:p>
        </w:tc>
        <w:tc>
          <w:tcPr>
            <w:tcW w:w="745"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Questions</w:t>
            </w:r>
          </w:p>
        </w:tc>
      </w:tr>
      <w:tr w:rsidR="005D275B" w:rsidRPr="00501643" w:rsidTr="00501643">
        <w:trPr>
          <w:jc w:val="center"/>
        </w:trPr>
        <w:tc>
          <w:tcPr>
            <w:tcW w:w="446"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D275B" w:rsidRDefault="005F357A" w:rsidP="005D275B">
            <w:pPr>
              <w:pStyle w:val="Tabletext"/>
              <w:rPr>
                <w:u w:val="single"/>
              </w:rPr>
            </w:pPr>
            <w:hyperlink r:id="rId90" w:history="1">
              <w:r w:rsidR="005D275B" w:rsidRPr="005D275B">
                <w:rPr>
                  <w:rStyle w:val="Hyperlink"/>
                  <w:lang w:val="en-US"/>
                </w:rPr>
                <w:t>INF 1</w:t>
              </w:r>
            </w:hyperlink>
          </w:p>
        </w:tc>
        <w:tc>
          <w:tcPr>
            <w:tcW w:w="747" w:type="pct"/>
            <w:tcBorders>
              <w:top w:val="single" w:sz="2" w:space="0" w:color="auto"/>
              <w:left w:val="single" w:sz="2" w:space="0" w:color="auto"/>
              <w:bottom w:val="single" w:sz="2" w:space="0" w:color="auto"/>
              <w:right w:val="single" w:sz="2" w:space="0" w:color="auto"/>
            </w:tcBorders>
            <w:shd w:val="clear" w:color="auto" w:fill="E8F8FD"/>
            <w:noWrap/>
            <w:hideMark/>
          </w:tcPr>
          <w:p w:rsidR="005D275B" w:rsidRPr="00501643" w:rsidRDefault="005D275B" w:rsidP="00501643">
            <w:pPr>
              <w:pStyle w:val="Tabletext"/>
            </w:pPr>
            <w:r w:rsidRPr="00501643">
              <w:t>2011-05-05</w:t>
            </w:r>
          </w:p>
        </w:tc>
        <w:tc>
          <w:tcPr>
            <w:tcW w:w="1194"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pPr>
            <w:r w:rsidRPr="00501643">
              <w:t>Cuba</w:t>
            </w:r>
          </w:p>
        </w:tc>
        <w:tc>
          <w:tcPr>
            <w:tcW w:w="1867"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250D23" w:rsidRDefault="005D275B" w:rsidP="00501643">
            <w:pPr>
              <w:pStyle w:val="Tabletext"/>
              <w:rPr>
                <w:lang w:val="es-ES"/>
              </w:rPr>
            </w:pPr>
            <w:r w:rsidRPr="00250D23">
              <w:rPr>
                <w:lang w:val="es-ES"/>
              </w:rPr>
              <w:t>Resumen de la experiencia desarrollada en el Ministerio de la Informática y las Comunicaciones (MIC) para la "Evaluación del uso del espectro radioeléctrico" destinado a radiocomunicaciones</w:t>
            </w:r>
          </w:p>
        </w:tc>
        <w:tc>
          <w:tcPr>
            <w:tcW w:w="745"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pPr>
            <w:r w:rsidRPr="00501643">
              <w:t>RES.9</w:t>
            </w:r>
          </w:p>
        </w:tc>
      </w:tr>
      <w:tr w:rsidR="005D275B" w:rsidRPr="00501643" w:rsidTr="00501643">
        <w:trPr>
          <w:jc w:val="center"/>
        </w:trPr>
        <w:tc>
          <w:tcPr>
            <w:tcW w:w="446" w:type="pct"/>
            <w:tcBorders>
              <w:top w:val="single" w:sz="2" w:space="0" w:color="auto"/>
              <w:left w:val="single" w:sz="2" w:space="0" w:color="auto"/>
              <w:bottom w:val="single" w:sz="2" w:space="0" w:color="auto"/>
              <w:right w:val="single" w:sz="2" w:space="0" w:color="auto"/>
            </w:tcBorders>
            <w:hideMark/>
          </w:tcPr>
          <w:p w:rsidR="005D275B" w:rsidRPr="005D275B" w:rsidRDefault="005F357A" w:rsidP="005D275B">
            <w:pPr>
              <w:pStyle w:val="Tabletext"/>
              <w:rPr>
                <w:u w:val="single"/>
              </w:rPr>
            </w:pPr>
            <w:hyperlink r:id="rId91" w:history="1">
              <w:r w:rsidR="005D275B" w:rsidRPr="005D275B">
                <w:rPr>
                  <w:rStyle w:val="Hyperlink"/>
                  <w:lang w:val="en-US"/>
                </w:rPr>
                <w:t>INF 2</w:t>
              </w:r>
            </w:hyperlink>
          </w:p>
        </w:tc>
        <w:tc>
          <w:tcPr>
            <w:tcW w:w="747" w:type="pct"/>
            <w:tcBorders>
              <w:top w:val="single" w:sz="2" w:space="0" w:color="auto"/>
              <w:left w:val="single" w:sz="2" w:space="0" w:color="auto"/>
              <w:bottom w:val="single" w:sz="2" w:space="0" w:color="auto"/>
              <w:right w:val="single" w:sz="2" w:space="0" w:color="auto"/>
            </w:tcBorders>
            <w:noWrap/>
            <w:hideMark/>
          </w:tcPr>
          <w:p w:rsidR="005D275B" w:rsidRPr="00501643" w:rsidRDefault="005D275B" w:rsidP="00501643">
            <w:pPr>
              <w:pStyle w:val="Tabletext"/>
            </w:pPr>
            <w:r w:rsidRPr="00501643">
              <w:t>2011-05-19</w:t>
            </w:r>
          </w:p>
        </w:tc>
        <w:tc>
          <w:tcPr>
            <w:tcW w:w="1194" w:type="pct"/>
            <w:tcBorders>
              <w:top w:val="single" w:sz="2" w:space="0" w:color="auto"/>
              <w:left w:val="single" w:sz="2" w:space="0" w:color="auto"/>
              <w:bottom w:val="single" w:sz="2" w:space="0" w:color="auto"/>
              <w:right w:val="single" w:sz="2" w:space="0" w:color="auto"/>
            </w:tcBorders>
            <w:hideMark/>
          </w:tcPr>
          <w:p w:rsidR="005D275B" w:rsidRPr="00501643" w:rsidRDefault="005D275B" w:rsidP="00501643">
            <w:pPr>
              <w:pStyle w:val="Tabletext"/>
            </w:pPr>
            <w:r w:rsidRPr="00501643">
              <w:t>Bangladesh</w:t>
            </w:r>
          </w:p>
        </w:tc>
        <w:tc>
          <w:tcPr>
            <w:tcW w:w="1867" w:type="pct"/>
            <w:tcBorders>
              <w:top w:val="single" w:sz="2" w:space="0" w:color="auto"/>
              <w:left w:val="single" w:sz="2" w:space="0" w:color="auto"/>
              <w:bottom w:val="single" w:sz="2" w:space="0" w:color="auto"/>
              <w:right w:val="single" w:sz="2" w:space="0" w:color="auto"/>
            </w:tcBorders>
            <w:hideMark/>
          </w:tcPr>
          <w:p w:rsidR="005D275B" w:rsidRPr="00250D23" w:rsidRDefault="005D275B" w:rsidP="00501643">
            <w:pPr>
              <w:pStyle w:val="Tabletext"/>
              <w:rPr>
                <w:lang w:val="en-US"/>
              </w:rPr>
            </w:pPr>
            <w:r w:rsidRPr="00250D23">
              <w:rPr>
                <w:lang w:val="en-US"/>
              </w:rPr>
              <w:t>Spectrum assignment procedure and spectrum pricing formula in Bangladesh</w:t>
            </w:r>
          </w:p>
        </w:tc>
        <w:tc>
          <w:tcPr>
            <w:tcW w:w="745" w:type="pct"/>
            <w:tcBorders>
              <w:top w:val="single" w:sz="2" w:space="0" w:color="auto"/>
              <w:left w:val="single" w:sz="2" w:space="0" w:color="auto"/>
              <w:bottom w:val="single" w:sz="2" w:space="0" w:color="auto"/>
              <w:right w:val="single" w:sz="2" w:space="0" w:color="auto"/>
            </w:tcBorders>
            <w:hideMark/>
          </w:tcPr>
          <w:p w:rsidR="005D275B" w:rsidRPr="00501643" w:rsidRDefault="005D275B" w:rsidP="00501643">
            <w:pPr>
              <w:pStyle w:val="Tabletext"/>
            </w:pPr>
            <w:r w:rsidRPr="00501643">
              <w:t>RES.9</w:t>
            </w:r>
          </w:p>
        </w:tc>
      </w:tr>
      <w:tr w:rsidR="005D275B" w:rsidRPr="00501643" w:rsidTr="00501643">
        <w:trPr>
          <w:jc w:val="center"/>
        </w:trPr>
        <w:tc>
          <w:tcPr>
            <w:tcW w:w="446"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D275B" w:rsidRDefault="005F357A" w:rsidP="005D275B">
            <w:pPr>
              <w:pStyle w:val="Tabletext"/>
              <w:rPr>
                <w:u w:val="single"/>
              </w:rPr>
            </w:pPr>
            <w:hyperlink r:id="rId92" w:history="1">
              <w:r w:rsidR="005D275B" w:rsidRPr="005D275B">
                <w:rPr>
                  <w:rStyle w:val="Hyperlink"/>
                  <w:lang w:val="en-US"/>
                </w:rPr>
                <w:t>INF 3</w:t>
              </w:r>
            </w:hyperlink>
          </w:p>
        </w:tc>
        <w:tc>
          <w:tcPr>
            <w:tcW w:w="747" w:type="pct"/>
            <w:tcBorders>
              <w:top w:val="single" w:sz="2" w:space="0" w:color="auto"/>
              <w:left w:val="single" w:sz="2" w:space="0" w:color="auto"/>
              <w:bottom w:val="single" w:sz="2" w:space="0" w:color="auto"/>
              <w:right w:val="single" w:sz="2" w:space="0" w:color="auto"/>
            </w:tcBorders>
            <w:shd w:val="clear" w:color="auto" w:fill="E8F8FD"/>
            <w:noWrap/>
            <w:hideMark/>
          </w:tcPr>
          <w:p w:rsidR="005D275B" w:rsidRPr="00501643" w:rsidRDefault="005D275B" w:rsidP="00501643">
            <w:pPr>
              <w:pStyle w:val="Tabletext"/>
            </w:pPr>
            <w:r w:rsidRPr="00501643">
              <w:t>2011-06-03</w:t>
            </w:r>
          </w:p>
        </w:tc>
        <w:tc>
          <w:tcPr>
            <w:tcW w:w="1194"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pPr>
            <w:r w:rsidRPr="00501643">
              <w:t>Telecommunication Development Bureau (BDT)</w:t>
            </w:r>
          </w:p>
        </w:tc>
        <w:tc>
          <w:tcPr>
            <w:tcW w:w="1867"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250D23" w:rsidRDefault="005D275B" w:rsidP="00501643">
            <w:pPr>
              <w:pStyle w:val="Tabletext"/>
              <w:rPr>
                <w:lang w:val="en-US"/>
              </w:rPr>
            </w:pPr>
            <w:r w:rsidRPr="00250D23">
              <w:rPr>
                <w:lang w:val="en-US"/>
              </w:rPr>
              <w:t>List of documents related to Resolution 9 (Rev. Hyderabad, 2010) for consideration during the September 2010 and June 2011 meetings</w:t>
            </w:r>
          </w:p>
        </w:tc>
        <w:tc>
          <w:tcPr>
            <w:tcW w:w="745" w:type="pct"/>
            <w:tcBorders>
              <w:top w:val="single" w:sz="2" w:space="0" w:color="auto"/>
              <w:left w:val="single" w:sz="2" w:space="0" w:color="auto"/>
              <w:bottom w:val="single" w:sz="2" w:space="0" w:color="auto"/>
              <w:right w:val="single" w:sz="2" w:space="0" w:color="auto"/>
            </w:tcBorders>
            <w:shd w:val="clear" w:color="auto" w:fill="E8F8FD"/>
            <w:hideMark/>
          </w:tcPr>
          <w:p w:rsidR="005D275B" w:rsidRPr="00501643" w:rsidRDefault="005D275B" w:rsidP="00501643">
            <w:pPr>
              <w:pStyle w:val="Tabletext"/>
            </w:pPr>
            <w:r w:rsidRPr="00501643">
              <w:t>RES.9</w:t>
            </w:r>
          </w:p>
        </w:tc>
      </w:tr>
    </w:tbl>
    <w:p w:rsidR="00E326D4" w:rsidRPr="00E326D4" w:rsidRDefault="00E326D4" w:rsidP="00E326D4">
      <w:pPr>
        <w:rPr>
          <w:b/>
          <w:bCs/>
          <w:szCs w:val="21"/>
        </w:rPr>
      </w:pPr>
    </w:p>
    <w:p w:rsidR="00E326D4" w:rsidRDefault="00E326D4" w:rsidP="00E326D4">
      <w:pPr>
        <w:pStyle w:val="Heading2"/>
      </w:pPr>
      <w:bookmarkStart w:id="65" w:name="_Toc380408334"/>
      <w:r w:rsidRPr="00E326D4">
        <w:lastRenderedPageBreak/>
        <w:t>2.4</w:t>
      </w:r>
      <w:r>
        <w:tab/>
      </w:r>
      <w:r w:rsidRPr="00E326D4">
        <w:t>Meeting Report</w:t>
      </w:r>
      <w:bookmarkEnd w:id="65"/>
    </w:p>
    <w:p w:rsidR="00E326D4" w:rsidRPr="00501643" w:rsidRDefault="00E326D4" w:rsidP="00E326D4">
      <w:pPr>
        <w:rPr>
          <w:sz w:val="6"/>
          <w:lang w:val="en-US"/>
        </w:rPr>
      </w:pP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814"/>
        <w:gridCol w:w="1355"/>
        <w:gridCol w:w="2166"/>
        <w:gridCol w:w="3387"/>
        <w:gridCol w:w="1350"/>
      </w:tblGrid>
      <w:tr w:rsidR="00E326D4" w:rsidRPr="00501643" w:rsidTr="00501643">
        <w:trPr>
          <w:tblHeader/>
          <w:jc w:val="center"/>
        </w:trPr>
        <w:tc>
          <w:tcPr>
            <w:tcW w:w="448"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Web</w:t>
            </w:r>
          </w:p>
        </w:tc>
        <w:tc>
          <w:tcPr>
            <w:tcW w:w="747"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Received</w:t>
            </w:r>
          </w:p>
        </w:tc>
        <w:tc>
          <w:tcPr>
            <w:tcW w:w="1194"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Source</w:t>
            </w:r>
          </w:p>
        </w:tc>
        <w:tc>
          <w:tcPr>
            <w:tcW w:w="1867"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Title</w:t>
            </w:r>
          </w:p>
        </w:tc>
        <w:tc>
          <w:tcPr>
            <w:tcW w:w="744"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Questions</w:t>
            </w:r>
          </w:p>
        </w:tc>
      </w:tr>
      <w:tr w:rsidR="00E326D4" w:rsidRPr="00501643" w:rsidTr="00501643">
        <w:trPr>
          <w:jc w:val="center"/>
        </w:trPr>
        <w:tc>
          <w:tcPr>
            <w:tcW w:w="448"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5D275B" w:rsidRDefault="005F357A" w:rsidP="005D275B">
            <w:pPr>
              <w:pStyle w:val="Tabletext"/>
            </w:pPr>
            <w:hyperlink r:id="rId93" w:history="1">
              <w:r w:rsidR="005D275B" w:rsidRPr="005D275B">
                <w:rPr>
                  <w:rStyle w:val="Hyperlink"/>
                  <w:lang w:val="en-US"/>
                </w:rPr>
                <w:t>R1</w:t>
              </w:r>
            </w:hyperlink>
          </w:p>
        </w:tc>
        <w:tc>
          <w:tcPr>
            <w:tcW w:w="747" w:type="pct"/>
            <w:tcBorders>
              <w:top w:val="single" w:sz="2" w:space="0" w:color="auto"/>
              <w:left w:val="single" w:sz="2" w:space="0" w:color="auto"/>
              <w:bottom w:val="single" w:sz="2" w:space="0" w:color="auto"/>
              <w:right w:val="single" w:sz="2" w:space="0" w:color="auto"/>
            </w:tcBorders>
            <w:shd w:val="clear" w:color="auto" w:fill="E8F8FD"/>
            <w:noWrap/>
            <w:hideMark/>
          </w:tcPr>
          <w:p w:rsidR="00E326D4" w:rsidRPr="00501643" w:rsidRDefault="00E326D4" w:rsidP="00E326D4">
            <w:pPr>
              <w:rPr>
                <w:sz w:val="19"/>
                <w:szCs w:val="19"/>
              </w:rPr>
            </w:pPr>
            <w:r w:rsidRPr="00501643">
              <w:rPr>
                <w:sz w:val="19"/>
                <w:szCs w:val="19"/>
              </w:rPr>
              <w:t>2011-06-21</w:t>
            </w:r>
          </w:p>
        </w:tc>
        <w:tc>
          <w:tcPr>
            <w:tcW w:w="1194"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250D23" w:rsidRDefault="00E326D4" w:rsidP="00E326D4">
            <w:pPr>
              <w:rPr>
                <w:sz w:val="19"/>
                <w:szCs w:val="19"/>
                <w:lang w:val="en-US"/>
              </w:rPr>
            </w:pPr>
            <w:r w:rsidRPr="00250D23">
              <w:rPr>
                <w:sz w:val="19"/>
                <w:szCs w:val="19"/>
                <w:lang w:val="en-US"/>
              </w:rPr>
              <w:t>Co-Chairman of the Joint Group on Resolution 9</w:t>
            </w:r>
          </w:p>
        </w:tc>
        <w:tc>
          <w:tcPr>
            <w:tcW w:w="1867"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250D23" w:rsidRDefault="00E326D4" w:rsidP="00E326D4">
            <w:pPr>
              <w:rPr>
                <w:sz w:val="19"/>
                <w:szCs w:val="19"/>
                <w:lang w:val="en-US"/>
              </w:rPr>
            </w:pPr>
            <w:r w:rsidRPr="00250D23">
              <w:rPr>
                <w:sz w:val="19"/>
                <w:szCs w:val="19"/>
                <w:lang w:val="en-US"/>
              </w:rPr>
              <w:t xml:space="preserve">Report of the Meeting of the Joint Group on Resolution 9 (Rev. Hyderabad, 2010), 6 June 2011  </w:t>
            </w:r>
          </w:p>
        </w:tc>
        <w:tc>
          <w:tcPr>
            <w:tcW w:w="744"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501643" w:rsidRDefault="00E326D4" w:rsidP="00E326D4">
            <w:pPr>
              <w:rPr>
                <w:sz w:val="19"/>
                <w:szCs w:val="19"/>
              </w:rPr>
            </w:pPr>
            <w:r w:rsidRPr="00501643">
              <w:rPr>
                <w:sz w:val="19"/>
                <w:szCs w:val="19"/>
              </w:rPr>
              <w:t>RES. 9</w:t>
            </w:r>
          </w:p>
        </w:tc>
      </w:tr>
    </w:tbl>
    <w:p w:rsidR="00501643" w:rsidRPr="00501643" w:rsidRDefault="00501643" w:rsidP="009D334A">
      <w:pPr>
        <w:spacing w:before="0"/>
        <w:rPr>
          <w:sz w:val="8"/>
        </w:rPr>
      </w:pPr>
    </w:p>
    <w:p w:rsidR="00E326D4" w:rsidRPr="00E326D4" w:rsidRDefault="00E326D4" w:rsidP="00E326D4">
      <w:pPr>
        <w:pStyle w:val="Heading1"/>
      </w:pPr>
      <w:bookmarkStart w:id="66" w:name="_Toc380408335"/>
      <w:r w:rsidRPr="00E326D4">
        <w:t>III</w:t>
      </w:r>
      <w:r>
        <w:tab/>
      </w:r>
      <w:r w:rsidRPr="00E326D4">
        <w:t>Meeting of Joint Group on Resolution 9 (12 September 2011)</w:t>
      </w:r>
      <w:bookmarkEnd w:id="66"/>
    </w:p>
    <w:p w:rsidR="00E326D4" w:rsidRDefault="00E326D4" w:rsidP="009D334A">
      <w:pPr>
        <w:pStyle w:val="Heading2"/>
      </w:pPr>
      <w:bookmarkStart w:id="67" w:name="_Toc380408336"/>
      <w:r w:rsidRPr="00E326D4">
        <w:t>3.1</w:t>
      </w:r>
      <w:r>
        <w:tab/>
      </w:r>
      <w:r w:rsidRPr="00E326D4">
        <w:t>Agenda</w:t>
      </w:r>
      <w:bookmarkEnd w:id="67"/>
    </w:p>
    <w:p w:rsidR="00E326D4" w:rsidRPr="009D334A" w:rsidRDefault="00E326D4" w:rsidP="00E326D4">
      <w:pPr>
        <w:rPr>
          <w:rFonts w:cs="Times New Roman Bold"/>
          <w:b/>
          <w:bCs/>
          <w:sz w:val="8"/>
          <w:szCs w:val="21"/>
        </w:rPr>
      </w:pP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814"/>
        <w:gridCol w:w="1355"/>
        <w:gridCol w:w="2168"/>
        <w:gridCol w:w="3400"/>
        <w:gridCol w:w="1335"/>
      </w:tblGrid>
      <w:tr w:rsidR="00E326D4" w:rsidRPr="00E326D4" w:rsidTr="00501643">
        <w:trPr>
          <w:tblHeader/>
          <w:jc w:val="center"/>
        </w:trPr>
        <w:tc>
          <w:tcPr>
            <w:tcW w:w="448"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Web</w:t>
            </w:r>
          </w:p>
        </w:tc>
        <w:tc>
          <w:tcPr>
            <w:tcW w:w="747"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Received</w:t>
            </w:r>
          </w:p>
        </w:tc>
        <w:tc>
          <w:tcPr>
            <w:tcW w:w="1195"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Source</w:t>
            </w:r>
          </w:p>
        </w:tc>
        <w:tc>
          <w:tcPr>
            <w:tcW w:w="1874"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Title</w:t>
            </w:r>
          </w:p>
        </w:tc>
        <w:tc>
          <w:tcPr>
            <w:tcW w:w="736"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501643">
            <w:pPr>
              <w:pStyle w:val="Tablehead"/>
            </w:pPr>
            <w:r w:rsidRPr="00501643">
              <w:t>Questions</w:t>
            </w:r>
          </w:p>
        </w:tc>
      </w:tr>
      <w:tr w:rsidR="00E326D4" w:rsidRPr="00E326D4" w:rsidTr="00501643">
        <w:trPr>
          <w:trHeight w:val="870"/>
          <w:jc w:val="center"/>
        </w:trPr>
        <w:tc>
          <w:tcPr>
            <w:tcW w:w="448" w:type="pct"/>
            <w:tcBorders>
              <w:top w:val="single" w:sz="2" w:space="0" w:color="auto"/>
              <w:left w:val="single" w:sz="2" w:space="0" w:color="auto"/>
              <w:bottom w:val="single" w:sz="4" w:space="0" w:color="auto"/>
              <w:right w:val="single" w:sz="2" w:space="0" w:color="auto"/>
            </w:tcBorders>
            <w:shd w:val="clear" w:color="auto" w:fill="E8F8FD"/>
            <w:hideMark/>
          </w:tcPr>
          <w:p w:rsidR="00E326D4" w:rsidRPr="00501643" w:rsidRDefault="005F357A" w:rsidP="005D275B">
            <w:pPr>
              <w:pStyle w:val="Tabletext"/>
            </w:pPr>
            <w:hyperlink r:id="rId94" w:history="1">
              <w:r w:rsidR="005D275B" w:rsidRPr="003C6750">
                <w:rPr>
                  <w:rStyle w:val="Hyperlink"/>
                  <w:lang w:val="en-US"/>
                </w:rPr>
                <w:t xml:space="preserve">OJ </w:t>
              </w:r>
              <w:r w:rsidR="005D275B">
                <w:rPr>
                  <w:rStyle w:val="Hyperlink"/>
                  <w:lang w:val="en-US"/>
                </w:rPr>
                <w:t>11</w:t>
              </w:r>
              <w:r w:rsidR="005D275B" w:rsidRPr="003C6750">
                <w:rPr>
                  <w:rStyle w:val="Hyperlink"/>
                  <w:lang w:val="en-US"/>
                </w:rPr>
                <w:t xml:space="preserve"> </w:t>
              </w:r>
            </w:hyperlink>
          </w:p>
        </w:tc>
        <w:tc>
          <w:tcPr>
            <w:tcW w:w="747" w:type="pct"/>
            <w:tcBorders>
              <w:top w:val="single" w:sz="2" w:space="0" w:color="auto"/>
              <w:left w:val="single" w:sz="2" w:space="0" w:color="auto"/>
              <w:bottom w:val="single" w:sz="4" w:space="0" w:color="auto"/>
              <w:right w:val="single" w:sz="2" w:space="0" w:color="auto"/>
            </w:tcBorders>
            <w:shd w:val="clear" w:color="auto" w:fill="E8F8FD"/>
            <w:noWrap/>
            <w:hideMark/>
          </w:tcPr>
          <w:p w:rsidR="00E326D4" w:rsidRPr="00501643" w:rsidRDefault="00E326D4" w:rsidP="00501643">
            <w:pPr>
              <w:pStyle w:val="Tabletext"/>
            </w:pPr>
            <w:r w:rsidRPr="00501643">
              <w:t>2011-08-31</w:t>
            </w:r>
          </w:p>
        </w:tc>
        <w:tc>
          <w:tcPr>
            <w:tcW w:w="1195" w:type="pct"/>
            <w:tcBorders>
              <w:top w:val="single" w:sz="2" w:space="0" w:color="auto"/>
              <w:left w:val="single" w:sz="2" w:space="0" w:color="auto"/>
              <w:bottom w:val="single" w:sz="4" w:space="0" w:color="auto"/>
              <w:right w:val="single" w:sz="2" w:space="0" w:color="auto"/>
            </w:tcBorders>
            <w:shd w:val="clear" w:color="auto" w:fill="E8F8FD"/>
            <w:hideMark/>
          </w:tcPr>
          <w:p w:rsidR="00E326D4" w:rsidRPr="00250D23" w:rsidRDefault="00E326D4" w:rsidP="00501643">
            <w:pPr>
              <w:pStyle w:val="Tabletext"/>
              <w:rPr>
                <w:lang w:val="en-US"/>
              </w:rPr>
            </w:pPr>
            <w:r w:rsidRPr="00250D23">
              <w:rPr>
                <w:lang w:val="en-US"/>
              </w:rPr>
              <w:t>ITU-D Co-Chairman, Joint Group on Resolution 9</w:t>
            </w:r>
          </w:p>
        </w:tc>
        <w:tc>
          <w:tcPr>
            <w:tcW w:w="1874" w:type="pct"/>
            <w:tcBorders>
              <w:top w:val="single" w:sz="2" w:space="0" w:color="auto"/>
              <w:left w:val="single" w:sz="2" w:space="0" w:color="auto"/>
              <w:bottom w:val="single" w:sz="4" w:space="0" w:color="auto"/>
              <w:right w:val="single" w:sz="2" w:space="0" w:color="auto"/>
            </w:tcBorders>
            <w:shd w:val="clear" w:color="auto" w:fill="E8F8FD"/>
            <w:hideMark/>
          </w:tcPr>
          <w:p w:rsidR="00E326D4" w:rsidRPr="00250D23" w:rsidRDefault="00E326D4" w:rsidP="00501643">
            <w:pPr>
              <w:pStyle w:val="Tabletext"/>
              <w:rPr>
                <w:lang w:val="en-US"/>
              </w:rPr>
            </w:pPr>
            <w:r w:rsidRPr="00250D23">
              <w:rPr>
                <w:lang w:val="en-US"/>
              </w:rPr>
              <w:t>Draft Agenda of the meeting of the Joint Group on Resolution 9 (Hyderabad, 2010) Monday, 12 September 2011, 1115-1230</w:t>
            </w:r>
          </w:p>
        </w:tc>
        <w:tc>
          <w:tcPr>
            <w:tcW w:w="736" w:type="pct"/>
            <w:tcBorders>
              <w:top w:val="single" w:sz="2" w:space="0" w:color="auto"/>
              <w:left w:val="single" w:sz="2" w:space="0" w:color="auto"/>
              <w:bottom w:val="single" w:sz="4" w:space="0" w:color="auto"/>
              <w:right w:val="single" w:sz="2" w:space="0" w:color="auto"/>
            </w:tcBorders>
            <w:shd w:val="clear" w:color="auto" w:fill="E8F8FD"/>
            <w:hideMark/>
          </w:tcPr>
          <w:p w:rsidR="00E326D4" w:rsidRPr="00501643" w:rsidRDefault="00E326D4" w:rsidP="00501643">
            <w:pPr>
              <w:pStyle w:val="Tabletext"/>
            </w:pPr>
            <w:r w:rsidRPr="00501643">
              <w:t>RES9</w:t>
            </w:r>
          </w:p>
        </w:tc>
      </w:tr>
    </w:tbl>
    <w:p w:rsidR="00501643" w:rsidRPr="00501643" w:rsidRDefault="00501643" w:rsidP="009D334A">
      <w:pPr>
        <w:spacing w:before="0"/>
        <w:rPr>
          <w:sz w:val="8"/>
        </w:rPr>
      </w:pPr>
    </w:p>
    <w:p w:rsidR="00E326D4" w:rsidRDefault="00E326D4" w:rsidP="00E326D4">
      <w:pPr>
        <w:pStyle w:val="Heading2"/>
      </w:pPr>
      <w:bookmarkStart w:id="68" w:name="_Toc380408337"/>
      <w:r w:rsidRPr="00E326D4">
        <w:t>3.2</w:t>
      </w:r>
      <w:r>
        <w:tab/>
      </w:r>
      <w:r w:rsidRPr="00E326D4">
        <w:t>Contributions</w:t>
      </w:r>
      <w:bookmarkEnd w:id="68"/>
    </w:p>
    <w:p w:rsidR="00E326D4" w:rsidRPr="00501643" w:rsidRDefault="00E326D4" w:rsidP="00E326D4">
      <w:pPr>
        <w:rPr>
          <w:sz w:val="8"/>
          <w:lang w:val="en-US"/>
        </w:rPr>
      </w:pP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896"/>
        <w:gridCol w:w="1274"/>
        <w:gridCol w:w="2268"/>
        <w:gridCol w:w="3400"/>
        <w:gridCol w:w="1234"/>
      </w:tblGrid>
      <w:tr w:rsidR="00E326D4" w:rsidRPr="00501643" w:rsidTr="00C65119">
        <w:trPr>
          <w:tblHeader/>
          <w:jc w:val="center"/>
        </w:trPr>
        <w:tc>
          <w:tcPr>
            <w:tcW w:w="494"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C65119">
            <w:pPr>
              <w:pStyle w:val="Tablehead"/>
            </w:pPr>
            <w:r w:rsidRPr="00501643">
              <w:t>Web</w:t>
            </w:r>
          </w:p>
        </w:tc>
        <w:tc>
          <w:tcPr>
            <w:tcW w:w="702"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C65119">
            <w:pPr>
              <w:pStyle w:val="Tablehead"/>
            </w:pPr>
            <w:r w:rsidRPr="00501643">
              <w:t>Received</w:t>
            </w:r>
          </w:p>
        </w:tc>
        <w:tc>
          <w:tcPr>
            <w:tcW w:w="1250"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C65119">
            <w:pPr>
              <w:pStyle w:val="Tablehead"/>
            </w:pPr>
            <w:r w:rsidRPr="00501643">
              <w:t>Source</w:t>
            </w:r>
          </w:p>
        </w:tc>
        <w:tc>
          <w:tcPr>
            <w:tcW w:w="1874"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C65119">
            <w:pPr>
              <w:pStyle w:val="Tablehead"/>
            </w:pPr>
            <w:r w:rsidRPr="00501643">
              <w:t>Title</w:t>
            </w:r>
          </w:p>
        </w:tc>
        <w:tc>
          <w:tcPr>
            <w:tcW w:w="680"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01643" w:rsidRDefault="00E326D4" w:rsidP="00C65119">
            <w:pPr>
              <w:pStyle w:val="Tablehead"/>
            </w:pPr>
            <w:r w:rsidRPr="00501643">
              <w:t>Questions</w:t>
            </w:r>
          </w:p>
        </w:tc>
      </w:tr>
      <w:tr w:rsidR="005D275B" w:rsidRPr="00501643" w:rsidTr="00C65119">
        <w:trPr>
          <w:trHeight w:val="870"/>
          <w:jc w:val="center"/>
        </w:trPr>
        <w:tc>
          <w:tcPr>
            <w:tcW w:w="494" w:type="pct"/>
            <w:tcBorders>
              <w:top w:val="single" w:sz="2" w:space="0" w:color="auto"/>
              <w:left w:val="single" w:sz="2" w:space="0" w:color="auto"/>
              <w:bottom w:val="single" w:sz="4" w:space="0" w:color="auto"/>
              <w:right w:val="single" w:sz="2" w:space="0" w:color="auto"/>
            </w:tcBorders>
            <w:shd w:val="clear" w:color="auto" w:fill="E8F8FD"/>
          </w:tcPr>
          <w:p w:rsidR="005D275B" w:rsidRPr="005D275B" w:rsidRDefault="005F357A" w:rsidP="005D275B">
            <w:pPr>
              <w:pStyle w:val="Tabletext"/>
            </w:pPr>
            <w:hyperlink r:id="rId95" w:history="1">
              <w:r w:rsidR="005D275B" w:rsidRPr="005D275B">
                <w:rPr>
                  <w:rStyle w:val="Hyperlink"/>
                </w:rPr>
                <w:t>[ C 126 ]</w:t>
              </w:r>
            </w:hyperlink>
          </w:p>
          <w:p w:rsidR="005D275B" w:rsidRPr="005D275B" w:rsidRDefault="005D275B" w:rsidP="005D275B">
            <w:pPr>
              <w:pStyle w:val="Tabletext"/>
            </w:pPr>
            <w:r w:rsidRPr="005D275B">
              <w:t>+Ann.</w:t>
            </w:r>
          </w:p>
        </w:tc>
        <w:tc>
          <w:tcPr>
            <w:tcW w:w="702" w:type="pct"/>
            <w:tcBorders>
              <w:top w:val="single" w:sz="2" w:space="0" w:color="auto"/>
              <w:left w:val="single" w:sz="2" w:space="0" w:color="auto"/>
              <w:bottom w:val="single" w:sz="4" w:space="0" w:color="auto"/>
              <w:right w:val="single" w:sz="2" w:space="0" w:color="auto"/>
            </w:tcBorders>
            <w:shd w:val="clear" w:color="auto" w:fill="E8F8FD"/>
            <w:noWrap/>
          </w:tcPr>
          <w:p w:rsidR="005D275B" w:rsidRPr="00501643" w:rsidRDefault="005D275B" w:rsidP="00C65119">
            <w:pPr>
              <w:pStyle w:val="Tabletext"/>
            </w:pPr>
            <w:r w:rsidRPr="00501643">
              <w:t>2011-09-10</w:t>
            </w:r>
          </w:p>
        </w:tc>
        <w:tc>
          <w:tcPr>
            <w:tcW w:w="1250" w:type="pct"/>
            <w:tcBorders>
              <w:top w:val="single" w:sz="2" w:space="0" w:color="auto"/>
              <w:left w:val="single" w:sz="2" w:space="0" w:color="auto"/>
              <w:bottom w:val="single" w:sz="4" w:space="0" w:color="auto"/>
              <w:right w:val="single" w:sz="2" w:space="0" w:color="auto"/>
            </w:tcBorders>
            <w:shd w:val="clear" w:color="auto" w:fill="E8F8FD"/>
          </w:tcPr>
          <w:p w:rsidR="005D275B" w:rsidRPr="00250D23" w:rsidRDefault="005D275B" w:rsidP="00C65119">
            <w:pPr>
              <w:pStyle w:val="Tabletext"/>
              <w:rPr>
                <w:lang w:val="en-US"/>
              </w:rPr>
            </w:pPr>
            <w:r w:rsidRPr="00250D23">
              <w:rPr>
                <w:lang w:val="en-US"/>
              </w:rPr>
              <w:t>BDT Focal Point for Resolution 9</w:t>
            </w:r>
          </w:p>
        </w:tc>
        <w:tc>
          <w:tcPr>
            <w:tcW w:w="1874" w:type="pct"/>
            <w:tcBorders>
              <w:top w:val="single" w:sz="2" w:space="0" w:color="auto"/>
              <w:left w:val="single" w:sz="2" w:space="0" w:color="auto"/>
              <w:bottom w:val="single" w:sz="4" w:space="0" w:color="auto"/>
              <w:right w:val="single" w:sz="2" w:space="0" w:color="auto"/>
            </w:tcBorders>
            <w:shd w:val="clear" w:color="auto" w:fill="E8F8FD"/>
          </w:tcPr>
          <w:p w:rsidR="005D275B" w:rsidRPr="00250D23" w:rsidRDefault="005D275B" w:rsidP="00C65119">
            <w:pPr>
              <w:pStyle w:val="Tabletext"/>
              <w:rPr>
                <w:lang w:val="en-US"/>
              </w:rPr>
            </w:pPr>
            <w:r w:rsidRPr="00250D23">
              <w:rPr>
                <w:lang w:val="en-US"/>
              </w:rPr>
              <w:t>BDT Spectrum Management Assessments and Other Assistance</w:t>
            </w:r>
          </w:p>
        </w:tc>
        <w:tc>
          <w:tcPr>
            <w:tcW w:w="680" w:type="pct"/>
            <w:tcBorders>
              <w:top w:val="single" w:sz="2" w:space="0" w:color="auto"/>
              <w:left w:val="single" w:sz="2" w:space="0" w:color="auto"/>
              <w:bottom w:val="single" w:sz="4" w:space="0" w:color="auto"/>
              <w:right w:val="single" w:sz="2" w:space="0" w:color="auto"/>
            </w:tcBorders>
            <w:shd w:val="clear" w:color="auto" w:fill="E8F8FD"/>
          </w:tcPr>
          <w:p w:rsidR="005D275B" w:rsidRPr="00501643" w:rsidRDefault="005D275B" w:rsidP="00C65119">
            <w:pPr>
              <w:pStyle w:val="Tabletext"/>
            </w:pPr>
            <w:r w:rsidRPr="00501643">
              <w:t>RES.9</w:t>
            </w:r>
          </w:p>
        </w:tc>
      </w:tr>
      <w:tr w:rsidR="005D275B" w:rsidRPr="00501643" w:rsidTr="00C65119">
        <w:trPr>
          <w:trHeight w:val="870"/>
          <w:jc w:val="center"/>
        </w:trPr>
        <w:tc>
          <w:tcPr>
            <w:tcW w:w="494" w:type="pct"/>
            <w:tcBorders>
              <w:top w:val="single" w:sz="2" w:space="0" w:color="auto"/>
              <w:left w:val="single" w:sz="2" w:space="0" w:color="auto"/>
              <w:bottom w:val="single" w:sz="2" w:space="0" w:color="auto"/>
              <w:right w:val="single" w:sz="2" w:space="0" w:color="auto"/>
            </w:tcBorders>
          </w:tcPr>
          <w:p w:rsidR="005D275B" w:rsidRPr="005D275B" w:rsidRDefault="005F357A" w:rsidP="005D275B">
            <w:pPr>
              <w:pStyle w:val="Tabletext"/>
            </w:pPr>
            <w:hyperlink r:id="rId96" w:history="1">
              <w:r w:rsidR="005D275B" w:rsidRPr="005D275B">
                <w:rPr>
                  <w:rStyle w:val="Hyperlink"/>
                </w:rPr>
                <w:t>[ C 110 ]</w:t>
              </w:r>
            </w:hyperlink>
          </w:p>
          <w:p w:rsidR="005D275B" w:rsidRPr="005D275B" w:rsidRDefault="005D275B" w:rsidP="005D275B">
            <w:pPr>
              <w:pStyle w:val="Tabletext"/>
            </w:pPr>
            <w:r w:rsidRPr="005D275B">
              <w:t>+Ann.1</w:t>
            </w:r>
          </w:p>
        </w:tc>
        <w:tc>
          <w:tcPr>
            <w:tcW w:w="702" w:type="pct"/>
            <w:tcBorders>
              <w:top w:val="single" w:sz="2" w:space="0" w:color="auto"/>
              <w:left w:val="single" w:sz="2" w:space="0" w:color="auto"/>
              <w:bottom w:val="single" w:sz="2" w:space="0" w:color="auto"/>
              <w:right w:val="single" w:sz="2" w:space="0" w:color="auto"/>
            </w:tcBorders>
            <w:noWrap/>
          </w:tcPr>
          <w:p w:rsidR="005D275B" w:rsidRPr="00501643" w:rsidRDefault="005D275B" w:rsidP="00C65119">
            <w:pPr>
              <w:pStyle w:val="Tabletext"/>
            </w:pPr>
            <w:r w:rsidRPr="00501643">
              <w:t>2011-08-24</w:t>
            </w:r>
          </w:p>
        </w:tc>
        <w:tc>
          <w:tcPr>
            <w:tcW w:w="1250" w:type="pct"/>
            <w:tcBorders>
              <w:top w:val="single" w:sz="2" w:space="0" w:color="auto"/>
              <w:left w:val="single" w:sz="2" w:space="0" w:color="auto"/>
              <w:bottom w:val="single" w:sz="2" w:space="0" w:color="auto"/>
              <w:right w:val="single" w:sz="2" w:space="0" w:color="auto"/>
            </w:tcBorders>
          </w:tcPr>
          <w:p w:rsidR="005D275B" w:rsidRPr="00501643" w:rsidRDefault="005D275B" w:rsidP="00C65119">
            <w:pPr>
              <w:pStyle w:val="Tabletext"/>
            </w:pPr>
            <w:r w:rsidRPr="00501643">
              <w:t>Côte d'Ivoire (Republic of)</w:t>
            </w:r>
          </w:p>
        </w:tc>
        <w:tc>
          <w:tcPr>
            <w:tcW w:w="1874" w:type="pct"/>
            <w:tcBorders>
              <w:top w:val="single" w:sz="2" w:space="0" w:color="auto"/>
              <w:left w:val="single" w:sz="2" w:space="0" w:color="auto"/>
              <w:bottom w:val="single" w:sz="2" w:space="0" w:color="auto"/>
              <w:right w:val="single" w:sz="2" w:space="0" w:color="auto"/>
            </w:tcBorders>
          </w:tcPr>
          <w:p w:rsidR="005D275B" w:rsidRPr="00501643" w:rsidRDefault="005D275B" w:rsidP="00C65119">
            <w:pPr>
              <w:pStyle w:val="Tabletext"/>
            </w:pPr>
            <w:r w:rsidRPr="00501643">
              <w:t>Etablissement du tableau national de répartition du spectre de la Côte d'Ivoire</w:t>
            </w:r>
          </w:p>
        </w:tc>
        <w:tc>
          <w:tcPr>
            <w:tcW w:w="680" w:type="pct"/>
            <w:tcBorders>
              <w:top w:val="single" w:sz="2" w:space="0" w:color="auto"/>
              <w:left w:val="single" w:sz="2" w:space="0" w:color="auto"/>
              <w:bottom w:val="single" w:sz="2" w:space="0" w:color="auto"/>
              <w:right w:val="single" w:sz="2" w:space="0" w:color="auto"/>
            </w:tcBorders>
          </w:tcPr>
          <w:p w:rsidR="005D275B" w:rsidRPr="00501643" w:rsidRDefault="005D275B" w:rsidP="00C65119">
            <w:pPr>
              <w:pStyle w:val="Tabletext"/>
            </w:pPr>
            <w:r w:rsidRPr="00501643">
              <w:t>RES.9</w:t>
            </w:r>
          </w:p>
        </w:tc>
      </w:tr>
      <w:tr w:rsidR="005D275B" w:rsidRPr="00501643" w:rsidTr="00C65119">
        <w:trPr>
          <w:trHeight w:val="870"/>
          <w:jc w:val="center"/>
        </w:trPr>
        <w:tc>
          <w:tcPr>
            <w:tcW w:w="494" w:type="pct"/>
            <w:tcBorders>
              <w:top w:val="single" w:sz="2" w:space="0" w:color="auto"/>
              <w:left w:val="single" w:sz="2" w:space="0" w:color="auto"/>
              <w:bottom w:val="single" w:sz="4" w:space="0" w:color="auto"/>
              <w:right w:val="single" w:sz="2" w:space="0" w:color="auto"/>
            </w:tcBorders>
            <w:shd w:val="clear" w:color="auto" w:fill="E8F8FD"/>
          </w:tcPr>
          <w:p w:rsidR="005D275B" w:rsidRPr="005D275B" w:rsidRDefault="005F357A" w:rsidP="005D275B">
            <w:pPr>
              <w:pStyle w:val="Tabletext"/>
            </w:pPr>
            <w:hyperlink r:id="rId97" w:history="1">
              <w:r w:rsidR="005D275B" w:rsidRPr="005D275B">
                <w:rPr>
                  <w:rStyle w:val="Hyperlink"/>
                </w:rPr>
                <w:t>[ C 107 ]</w:t>
              </w:r>
            </w:hyperlink>
          </w:p>
        </w:tc>
        <w:tc>
          <w:tcPr>
            <w:tcW w:w="702" w:type="pct"/>
            <w:tcBorders>
              <w:top w:val="single" w:sz="2" w:space="0" w:color="auto"/>
              <w:left w:val="single" w:sz="2" w:space="0" w:color="auto"/>
              <w:bottom w:val="single" w:sz="4" w:space="0" w:color="auto"/>
              <w:right w:val="single" w:sz="2" w:space="0" w:color="auto"/>
            </w:tcBorders>
            <w:shd w:val="clear" w:color="auto" w:fill="E8F8FD"/>
            <w:noWrap/>
          </w:tcPr>
          <w:p w:rsidR="005D275B" w:rsidRPr="00501643" w:rsidRDefault="005D275B" w:rsidP="00C65119">
            <w:pPr>
              <w:pStyle w:val="Tabletext"/>
            </w:pPr>
            <w:r w:rsidRPr="00501643">
              <w:t>2011-08-10</w:t>
            </w:r>
          </w:p>
        </w:tc>
        <w:tc>
          <w:tcPr>
            <w:tcW w:w="1250" w:type="pct"/>
            <w:tcBorders>
              <w:top w:val="single" w:sz="2" w:space="0" w:color="auto"/>
              <w:left w:val="single" w:sz="2" w:space="0" w:color="auto"/>
              <w:bottom w:val="single" w:sz="4" w:space="0" w:color="auto"/>
              <w:right w:val="single" w:sz="2" w:space="0" w:color="auto"/>
            </w:tcBorders>
            <w:shd w:val="clear" w:color="auto" w:fill="E8F8FD"/>
          </w:tcPr>
          <w:p w:rsidR="005D275B" w:rsidRPr="00501643" w:rsidRDefault="005D275B" w:rsidP="00C65119">
            <w:pPr>
              <w:pStyle w:val="Tabletext"/>
            </w:pPr>
            <w:r w:rsidRPr="00501643">
              <w:t>Eritrea</w:t>
            </w:r>
          </w:p>
        </w:tc>
        <w:tc>
          <w:tcPr>
            <w:tcW w:w="1874" w:type="pct"/>
            <w:tcBorders>
              <w:top w:val="single" w:sz="2" w:space="0" w:color="auto"/>
              <w:left w:val="single" w:sz="2" w:space="0" w:color="auto"/>
              <w:bottom w:val="single" w:sz="4" w:space="0" w:color="auto"/>
              <w:right w:val="single" w:sz="2" w:space="0" w:color="auto"/>
            </w:tcBorders>
            <w:shd w:val="clear" w:color="auto" w:fill="E8F8FD"/>
          </w:tcPr>
          <w:p w:rsidR="005D275B" w:rsidRPr="00250D23" w:rsidRDefault="005D275B" w:rsidP="00C65119">
            <w:pPr>
              <w:pStyle w:val="Tabletext"/>
              <w:rPr>
                <w:lang w:val="en-US"/>
              </w:rPr>
            </w:pPr>
            <w:r w:rsidRPr="00250D23">
              <w:rPr>
                <w:lang w:val="en-US"/>
              </w:rPr>
              <w:t>Eritrea's Input to the Work of Resolution 9</w:t>
            </w:r>
          </w:p>
        </w:tc>
        <w:tc>
          <w:tcPr>
            <w:tcW w:w="680" w:type="pct"/>
            <w:tcBorders>
              <w:top w:val="single" w:sz="2" w:space="0" w:color="auto"/>
              <w:left w:val="single" w:sz="2" w:space="0" w:color="auto"/>
              <w:bottom w:val="single" w:sz="4" w:space="0" w:color="auto"/>
              <w:right w:val="single" w:sz="2" w:space="0" w:color="auto"/>
            </w:tcBorders>
            <w:shd w:val="clear" w:color="auto" w:fill="E8F8FD"/>
          </w:tcPr>
          <w:p w:rsidR="005D275B" w:rsidRPr="00501643" w:rsidRDefault="005D275B" w:rsidP="00C65119">
            <w:pPr>
              <w:pStyle w:val="Tabletext"/>
            </w:pPr>
            <w:r w:rsidRPr="00501643">
              <w:t>RES.9</w:t>
            </w:r>
          </w:p>
        </w:tc>
      </w:tr>
      <w:tr w:rsidR="005D275B" w:rsidRPr="00501643" w:rsidTr="00C65119">
        <w:trPr>
          <w:trHeight w:val="870"/>
          <w:jc w:val="center"/>
        </w:trPr>
        <w:tc>
          <w:tcPr>
            <w:tcW w:w="494" w:type="pct"/>
            <w:tcBorders>
              <w:top w:val="single" w:sz="2" w:space="0" w:color="auto"/>
              <w:left w:val="single" w:sz="2" w:space="0" w:color="auto"/>
              <w:bottom w:val="single" w:sz="2" w:space="0" w:color="auto"/>
              <w:right w:val="single" w:sz="2" w:space="0" w:color="auto"/>
            </w:tcBorders>
          </w:tcPr>
          <w:p w:rsidR="005D275B" w:rsidRPr="005D275B" w:rsidRDefault="005F357A" w:rsidP="005D275B">
            <w:pPr>
              <w:pStyle w:val="Tabletext"/>
            </w:pPr>
            <w:hyperlink r:id="rId98" w:history="1">
              <w:r w:rsidR="005D275B" w:rsidRPr="005D275B">
                <w:rPr>
                  <w:rStyle w:val="Hyperlink"/>
                </w:rPr>
                <w:t>[ C 75 ]</w:t>
              </w:r>
            </w:hyperlink>
          </w:p>
          <w:p w:rsidR="005D275B" w:rsidRPr="005D275B" w:rsidRDefault="005D275B" w:rsidP="005D275B">
            <w:pPr>
              <w:pStyle w:val="Tabletext"/>
            </w:pPr>
            <w:r w:rsidRPr="005D275B">
              <w:t>(Rev.1-2)</w:t>
            </w:r>
          </w:p>
        </w:tc>
        <w:tc>
          <w:tcPr>
            <w:tcW w:w="702" w:type="pct"/>
            <w:tcBorders>
              <w:top w:val="single" w:sz="2" w:space="0" w:color="auto"/>
              <w:left w:val="single" w:sz="2" w:space="0" w:color="auto"/>
              <w:bottom w:val="single" w:sz="2" w:space="0" w:color="auto"/>
              <w:right w:val="single" w:sz="2" w:space="0" w:color="auto"/>
            </w:tcBorders>
            <w:noWrap/>
          </w:tcPr>
          <w:p w:rsidR="005D275B" w:rsidRPr="00501643" w:rsidRDefault="005D275B" w:rsidP="00C65119">
            <w:pPr>
              <w:pStyle w:val="Tabletext"/>
            </w:pPr>
            <w:r w:rsidRPr="00501643">
              <w:t>2011-06-27</w:t>
            </w:r>
          </w:p>
        </w:tc>
        <w:tc>
          <w:tcPr>
            <w:tcW w:w="1250" w:type="pct"/>
            <w:tcBorders>
              <w:top w:val="single" w:sz="2" w:space="0" w:color="auto"/>
              <w:left w:val="single" w:sz="2" w:space="0" w:color="auto"/>
              <w:bottom w:val="single" w:sz="2" w:space="0" w:color="auto"/>
              <w:right w:val="single" w:sz="2" w:space="0" w:color="auto"/>
            </w:tcBorders>
          </w:tcPr>
          <w:p w:rsidR="005D275B" w:rsidRPr="00250D23" w:rsidRDefault="005D275B" w:rsidP="00C65119">
            <w:pPr>
              <w:pStyle w:val="Tabletext"/>
              <w:rPr>
                <w:lang w:val="en-US"/>
              </w:rPr>
            </w:pPr>
            <w:r w:rsidRPr="00250D23">
              <w:rPr>
                <w:lang w:val="en-US"/>
              </w:rPr>
              <w:t>ITU-D Co-Chairman, Joint Group on Resolution 9</w:t>
            </w:r>
          </w:p>
        </w:tc>
        <w:tc>
          <w:tcPr>
            <w:tcW w:w="1874" w:type="pct"/>
            <w:tcBorders>
              <w:top w:val="single" w:sz="2" w:space="0" w:color="auto"/>
              <w:left w:val="single" w:sz="2" w:space="0" w:color="auto"/>
              <w:bottom w:val="single" w:sz="2" w:space="0" w:color="auto"/>
              <w:right w:val="single" w:sz="2" w:space="0" w:color="auto"/>
            </w:tcBorders>
          </w:tcPr>
          <w:p w:rsidR="005D275B" w:rsidRPr="00501643" w:rsidRDefault="005D275B" w:rsidP="00C65119">
            <w:pPr>
              <w:pStyle w:val="Tabletext"/>
            </w:pPr>
            <w:r w:rsidRPr="00501643">
              <w:t>Draft interim report</w:t>
            </w:r>
          </w:p>
        </w:tc>
        <w:tc>
          <w:tcPr>
            <w:tcW w:w="680" w:type="pct"/>
            <w:tcBorders>
              <w:top w:val="single" w:sz="2" w:space="0" w:color="auto"/>
              <w:left w:val="single" w:sz="2" w:space="0" w:color="auto"/>
              <w:bottom w:val="single" w:sz="2" w:space="0" w:color="auto"/>
              <w:right w:val="single" w:sz="2" w:space="0" w:color="auto"/>
            </w:tcBorders>
          </w:tcPr>
          <w:p w:rsidR="005D275B" w:rsidRPr="00501643" w:rsidRDefault="005D275B" w:rsidP="00C65119">
            <w:pPr>
              <w:pStyle w:val="Tabletext"/>
            </w:pPr>
            <w:r w:rsidRPr="00501643">
              <w:t>RES.9</w:t>
            </w:r>
          </w:p>
        </w:tc>
      </w:tr>
      <w:tr w:rsidR="005D275B" w:rsidRPr="00501643" w:rsidTr="00C65119">
        <w:trPr>
          <w:trHeight w:val="870"/>
          <w:jc w:val="center"/>
        </w:trPr>
        <w:tc>
          <w:tcPr>
            <w:tcW w:w="494" w:type="pct"/>
            <w:tcBorders>
              <w:top w:val="single" w:sz="2" w:space="0" w:color="auto"/>
              <w:left w:val="single" w:sz="2" w:space="0" w:color="auto"/>
              <w:bottom w:val="single" w:sz="4" w:space="0" w:color="auto"/>
              <w:right w:val="single" w:sz="2" w:space="0" w:color="auto"/>
            </w:tcBorders>
            <w:shd w:val="clear" w:color="auto" w:fill="E8F8FD"/>
          </w:tcPr>
          <w:p w:rsidR="005D275B" w:rsidRPr="005D275B" w:rsidRDefault="005F357A" w:rsidP="005D275B">
            <w:pPr>
              <w:pStyle w:val="Tabletext"/>
            </w:pPr>
            <w:hyperlink r:id="rId99" w:history="1">
              <w:r w:rsidR="005D275B" w:rsidRPr="005D275B">
                <w:rPr>
                  <w:rStyle w:val="Hyperlink"/>
                </w:rPr>
                <w:t>[ C 74 ]</w:t>
              </w:r>
            </w:hyperlink>
          </w:p>
        </w:tc>
        <w:tc>
          <w:tcPr>
            <w:tcW w:w="702" w:type="pct"/>
            <w:tcBorders>
              <w:top w:val="single" w:sz="2" w:space="0" w:color="auto"/>
              <w:left w:val="single" w:sz="2" w:space="0" w:color="auto"/>
              <w:bottom w:val="single" w:sz="4" w:space="0" w:color="auto"/>
              <w:right w:val="single" w:sz="2" w:space="0" w:color="auto"/>
            </w:tcBorders>
            <w:shd w:val="clear" w:color="auto" w:fill="E8F8FD"/>
            <w:noWrap/>
          </w:tcPr>
          <w:p w:rsidR="005D275B" w:rsidRPr="00501643" w:rsidRDefault="005D275B" w:rsidP="00C65119">
            <w:pPr>
              <w:pStyle w:val="Tabletext"/>
            </w:pPr>
            <w:r w:rsidRPr="00501643">
              <w:t>2011-06-27</w:t>
            </w:r>
          </w:p>
        </w:tc>
        <w:tc>
          <w:tcPr>
            <w:tcW w:w="1250" w:type="pct"/>
            <w:tcBorders>
              <w:top w:val="single" w:sz="2" w:space="0" w:color="auto"/>
              <w:left w:val="single" w:sz="2" w:space="0" w:color="auto"/>
              <w:bottom w:val="single" w:sz="4" w:space="0" w:color="auto"/>
              <w:right w:val="single" w:sz="2" w:space="0" w:color="auto"/>
            </w:tcBorders>
            <w:shd w:val="clear" w:color="auto" w:fill="E8F8FD"/>
          </w:tcPr>
          <w:p w:rsidR="005D275B" w:rsidRPr="00250D23" w:rsidRDefault="005D275B" w:rsidP="00C65119">
            <w:pPr>
              <w:pStyle w:val="Tabletext"/>
              <w:rPr>
                <w:lang w:val="en-US"/>
              </w:rPr>
            </w:pPr>
            <w:r w:rsidRPr="00250D23">
              <w:rPr>
                <w:lang w:val="en-US"/>
              </w:rPr>
              <w:t>Democratic Republic of the Congo</w:t>
            </w:r>
          </w:p>
        </w:tc>
        <w:tc>
          <w:tcPr>
            <w:tcW w:w="1874" w:type="pct"/>
            <w:tcBorders>
              <w:top w:val="single" w:sz="2" w:space="0" w:color="auto"/>
              <w:left w:val="single" w:sz="2" w:space="0" w:color="auto"/>
              <w:bottom w:val="single" w:sz="4" w:space="0" w:color="auto"/>
              <w:right w:val="single" w:sz="2" w:space="0" w:color="auto"/>
            </w:tcBorders>
            <w:shd w:val="clear" w:color="auto" w:fill="E8F8FD"/>
          </w:tcPr>
          <w:p w:rsidR="005D275B" w:rsidRPr="00250D23" w:rsidRDefault="005D275B" w:rsidP="00C65119">
            <w:pPr>
              <w:pStyle w:val="Tabletext"/>
              <w:rPr>
                <w:lang w:val="en-US"/>
              </w:rPr>
            </w:pPr>
            <w:r w:rsidRPr="00250D23">
              <w:rPr>
                <w:lang w:val="en-US"/>
              </w:rPr>
              <w:t>Spectrum management and methods for calculating spectrum usage fees in DRC</w:t>
            </w:r>
          </w:p>
        </w:tc>
        <w:tc>
          <w:tcPr>
            <w:tcW w:w="680" w:type="pct"/>
            <w:tcBorders>
              <w:top w:val="single" w:sz="2" w:space="0" w:color="auto"/>
              <w:left w:val="single" w:sz="2" w:space="0" w:color="auto"/>
              <w:bottom w:val="single" w:sz="4" w:space="0" w:color="auto"/>
              <w:right w:val="single" w:sz="2" w:space="0" w:color="auto"/>
            </w:tcBorders>
            <w:shd w:val="clear" w:color="auto" w:fill="E8F8FD"/>
          </w:tcPr>
          <w:p w:rsidR="005D275B" w:rsidRPr="00501643" w:rsidRDefault="005D275B" w:rsidP="00C65119">
            <w:pPr>
              <w:pStyle w:val="Tabletext"/>
            </w:pPr>
            <w:r w:rsidRPr="00501643">
              <w:t>RES.9</w:t>
            </w:r>
          </w:p>
        </w:tc>
      </w:tr>
      <w:tr w:rsidR="005D275B" w:rsidRPr="00501643" w:rsidTr="00C65119">
        <w:trPr>
          <w:trHeight w:val="870"/>
          <w:jc w:val="center"/>
        </w:trPr>
        <w:tc>
          <w:tcPr>
            <w:tcW w:w="494" w:type="pct"/>
            <w:tcBorders>
              <w:top w:val="single" w:sz="2" w:space="0" w:color="auto"/>
              <w:left w:val="single" w:sz="2" w:space="0" w:color="auto"/>
              <w:bottom w:val="single" w:sz="2" w:space="0" w:color="auto"/>
              <w:right w:val="single" w:sz="2" w:space="0" w:color="auto"/>
            </w:tcBorders>
          </w:tcPr>
          <w:p w:rsidR="005D275B" w:rsidRPr="005D275B" w:rsidRDefault="005F357A" w:rsidP="005D275B">
            <w:pPr>
              <w:pStyle w:val="Tabletext"/>
            </w:pPr>
            <w:hyperlink r:id="rId100" w:history="1">
              <w:r w:rsidR="005D275B" w:rsidRPr="005D275B">
                <w:rPr>
                  <w:rStyle w:val="Hyperlink"/>
                </w:rPr>
                <w:t>[ C 73 ]</w:t>
              </w:r>
            </w:hyperlink>
          </w:p>
        </w:tc>
        <w:tc>
          <w:tcPr>
            <w:tcW w:w="702" w:type="pct"/>
            <w:tcBorders>
              <w:top w:val="single" w:sz="2" w:space="0" w:color="auto"/>
              <w:left w:val="single" w:sz="2" w:space="0" w:color="auto"/>
              <w:bottom w:val="single" w:sz="2" w:space="0" w:color="auto"/>
              <w:right w:val="single" w:sz="2" w:space="0" w:color="auto"/>
            </w:tcBorders>
            <w:noWrap/>
          </w:tcPr>
          <w:p w:rsidR="005D275B" w:rsidRPr="00501643" w:rsidRDefault="005D275B" w:rsidP="00C65119">
            <w:pPr>
              <w:pStyle w:val="Tabletext"/>
            </w:pPr>
            <w:r w:rsidRPr="00501643">
              <w:t>2011-06-27</w:t>
            </w:r>
          </w:p>
        </w:tc>
        <w:tc>
          <w:tcPr>
            <w:tcW w:w="1250" w:type="pct"/>
            <w:tcBorders>
              <w:top w:val="single" w:sz="2" w:space="0" w:color="auto"/>
              <w:left w:val="single" w:sz="2" w:space="0" w:color="auto"/>
              <w:bottom w:val="single" w:sz="2" w:space="0" w:color="auto"/>
              <w:right w:val="single" w:sz="2" w:space="0" w:color="auto"/>
            </w:tcBorders>
          </w:tcPr>
          <w:p w:rsidR="005D275B" w:rsidRPr="00501643" w:rsidRDefault="005D275B" w:rsidP="00C65119">
            <w:pPr>
              <w:pStyle w:val="Tabletext"/>
            </w:pPr>
            <w:r w:rsidRPr="00501643">
              <w:t>Cuba</w:t>
            </w:r>
          </w:p>
        </w:tc>
        <w:tc>
          <w:tcPr>
            <w:tcW w:w="1874" w:type="pct"/>
            <w:tcBorders>
              <w:top w:val="single" w:sz="2" w:space="0" w:color="auto"/>
              <w:left w:val="single" w:sz="2" w:space="0" w:color="auto"/>
              <w:bottom w:val="single" w:sz="2" w:space="0" w:color="auto"/>
              <w:right w:val="single" w:sz="2" w:space="0" w:color="auto"/>
            </w:tcBorders>
          </w:tcPr>
          <w:p w:rsidR="005D275B" w:rsidRPr="00250D23" w:rsidRDefault="005D275B" w:rsidP="00C65119">
            <w:pPr>
              <w:pStyle w:val="Tabletext"/>
              <w:rPr>
                <w:lang w:val="en-US"/>
              </w:rPr>
            </w:pPr>
            <w:r w:rsidRPr="00250D23">
              <w:rPr>
                <w:lang w:val="en-US"/>
              </w:rPr>
              <w:t>Summary of the experience acquired by the Ministry of Computer Science and Communications (MIC) in regard to "Evaluation of radio-frequency spectrum usage" for radiocommunications</w:t>
            </w:r>
          </w:p>
        </w:tc>
        <w:tc>
          <w:tcPr>
            <w:tcW w:w="680" w:type="pct"/>
            <w:tcBorders>
              <w:top w:val="single" w:sz="2" w:space="0" w:color="auto"/>
              <w:left w:val="single" w:sz="2" w:space="0" w:color="auto"/>
              <w:bottom w:val="single" w:sz="2" w:space="0" w:color="auto"/>
              <w:right w:val="single" w:sz="2" w:space="0" w:color="auto"/>
            </w:tcBorders>
          </w:tcPr>
          <w:p w:rsidR="005D275B" w:rsidRPr="00501643" w:rsidRDefault="005D275B" w:rsidP="00C65119">
            <w:pPr>
              <w:pStyle w:val="Tabletext"/>
            </w:pPr>
            <w:r w:rsidRPr="00501643">
              <w:t>RES.9</w:t>
            </w:r>
          </w:p>
        </w:tc>
      </w:tr>
      <w:tr w:rsidR="005D275B" w:rsidRPr="00501643" w:rsidTr="00C65119">
        <w:trPr>
          <w:trHeight w:val="870"/>
          <w:jc w:val="center"/>
        </w:trPr>
        <w:tc>
          <w:tcPr>
            <w:tcW w:w="494" w:type="pct"/>
            <w:tcBorders>
              <w:top w:val="single" w:sz="2" w:space="0" w:color="auto"/>
              <w:left w:val="single" w:sz="2" w:space="0" w:color="auto"/>
              <w:bottom w:val="single" w:sz="4" w:space="0" w:color="auto"/>
              <w:right w:val="single" w:sz="2" w:space="0" w:color="auto"/>
            </w:tcBorders>
            <w:shd w:val="clear" w:color="auto" w:fill="E8F8FD"/>
          </w:tcPr>
          <w:p w:rsidR="005D275B" w:rsidRPr="005D275B" w:rsidRDefault="005F357A" w:rsidP="005D275B">
            <w:pPr>
              <w:pStyle w:val="Tabletext"/>
            </w:pPr>
            <w:hyperlink r:id="rId101" w:history="1">
              <w:r w:rsidR="005D275B" w:rsidRPr="005D275B">
                <w:rPr>
                  <w:rStyle w:val="Hyperlink"/>
                </w:rPr>
                <w:t>[ C 72 ]</w:t>
              </w:r>
            </w:hyperlink>
          </w:p>
        </w:tc>
        <w:tc>
          <w:tcPr>
            <w:tcW w:w="702" w:type="pct"/>
            <w:tcBorders>
              <w:top w:val="single" w:sz="2" w:space="0" w:color="auto"/>
              <w:left w:val="single" w:sz="2" w:space="0" w:color="auto"/>
              <w:bottom w:val="single" w:sz="4" w:space="0" w:color="auto"/>
              <w:right w:val="single" w:sz="2" w:space="0" w:color="auto"/>
            </w:tcBorders>
            <w:shd w:val="clear" w:color="auto" w:fill="E8F8FD"/>
            <w:noWrap/>
          </w:tcPr>
          <w:p w:rsidR="005D275B" w:rsidRPr="00501643" w:rsidRDefault="005D275B" w:rsidP="00C65119">
            <w:pPr>
              <w:pStyle w:val="Tabletext"/>
            </w:pPr>
            <w:r w:rsidRPr="00501643">
              <w:t>2011-06-20</w:t>
            </w:r>
          </w:p>
        </w:tc>
        <w:tc>
          <w:tcPr>
            <w:tcW w:w="1250" w:type="pct"/>
            <w:tcBorders>
              <w:top w:val="single" w:sz="2" w:space="0" w:color="auto"/>
              <w:left w:val="single" w:sz="2" w:space="0" w:color="auto"/>
              <w:bottom w:val="single" w:sz="4" w:space="0" w:color="auto"/>
              <w:right w:val="single" w:sz="2" w:space="0" w:color="auto"/>
            </w:tcBorders>
            <w:shd w:val="clear" w:color="auto" w:fill="E8F8FD"/>
          </w:tcPr>
          <w:p w:rsidR="005D275B" w:rsidRPr="00250D23" w:rsidRDefault="005D275B" w:rsidP="00C65119">
            <w:pPr>
              <w:pStyle w:val="Tabletext"/>
              <w:rPr>
                <w:lang w:val="en-US"/>
              </w:rPr>
            </w:pPr>
            <w:r w:rsidRPr="00250D23">
              <w:rPr>
                <w:lang w:val="en-US"/>
              </w:rPr>
              <w:t>ITU-R Co-Chairman, Joint Group on Resolution 9</w:t>
            </w:r>
          </w:p>
        </w:tc>
        <w:tc>
          <w:tcPr>
            <w:tcW w:w="1874" w:type="pct"/>
            <w:tcBorders>
              <w:top w:val="single" w:sz="2" w:space="0" w:color="auto"/>
              <w:left w:val="single" w:sz="2" w:space="0" w:color="auto"/>
              <w:bottom w:val="single" w:sz="4" w:space="0" w:color="auto"/>
              <w:right w:val="single" w:sz="2" w:space="0" w:color="auto"/>
            </w:tcBorders>
            <w:shd w:val="clear" w:color="auto" w:fill="E8F8FD"/>
          </w:tcPr>
          <w:p w:rsidR="005D275B" w:rsidRPr="00250D23" w:rsidRDefault="005D275B" w:rsidP="00C65119">
            <w:pPr>
              <w:pStyle w:val="Tabletext"/>
              <w:rPr>
                <w:lang w:val="en-US"/>
              </w:rPr>
            </w:pPr>
            <w:r w:rsidRPr="00250D23">
              <w:rPr>
                <w:lang w:val="en-US"/>
              </w:rPr>
              <w:t>Report of the Meeting of the Joint Group on Resolution 9 (Rev. Hyderabad, 2010), Geneva, 6 June 2011</w:t>
            </w:r>
          </w:p>
        </w:tc>
        <w:tc>
          <w:tcPr>
            <w:tcW w:w="680" w:type="pct"/>
            <w:tcBorders>
              <w:top w:val="single" w:sz="2" w:space="0" w:color="auto"/>
              <w:left w:val="single" w:sz="2" w:space="0" w:color="auto"/>
              <w:bottom w:val="single" w:sz="4" w:space="0" w:color="auto"/>
              <w:right w:val="single" w:sz="2" w:space="0" w:color="auto"/>
            </w:tcBorders>
            <w:shd w:val="clear" w:color="auto" w:fill="E8F8FD"/>
          </w:tcPr>
          <w:p w:rsidR="005D275B" w:rsidRPr="00501643" w:rsidRDefault="005D275B" w:rsidP="00C65119">
            <w:pPr>
              <w:pStyle w:val="Tabletext"/>
            </w:pPr>
            <w:r w:rsidRPr="00501643">
              <w:t>RES.9</w:t>
            </w:r>
          </w:p>
        </w:tc>
      </w:tr>
      <w:tr w:rsidR="005D275B" w:rsidRPr="00501643" w:rsidTr="00C65119">
        <w:trPr>
          <w:trHeight w:val="870"/>
          <w:jc w:val="center"/>
        </w:trPr>
        <w:tc>
          <w:tcPr>
            <w:tcW w:w="494" w:type="pct"/>
            <w:tcBorders>
              <w:top w:val="single" w:sz="2" w:space="0" w:color="auto"/>
              <w:left w:val="single" w:sz="2" w:space="0" w:color="auto"/>
              <w:bottom w:val="single" w:sz="4" w:space="0" w:color="auto"/>
              <w:right w:val="single" w:sz="2" w:space="0" w:color="auto"/>
            </w:tcBorders>
          </w:tcPr>
          <w:p w:rsidR="005D275B" w:rsidRPr="005D275B" w:rsidRDefault="005F357A" w:rsidP="005D275B">
            <w:pPr>
              <w:pStyle w:val="Tabletext"/>
            </w:pPr>
            <w:hyperlink r:id="rId102" w:history="1">
              <w:r w:rsidR="005D275B" w:rsidRPr="005D275B">
                <w:rPr>
                  <w:rStyle w:val="Hyperlink"/>
                </w:rPr>
                <w:t>[ C 61 ]</w:t>
              </w:r>
            </w:hyperlink>
          </w:p>
          <w:p w:rsidR="005D275B" w:rsidRPr="005D275B" w:rsidRDefault="005D275B" w:rsidP="005D275B">
            <w:pPr>
              <w:pStyle w:val="Tabletext"/>
            </w:pPr>
            <w:r w:rsidRPr="005D275B">
              <w:t>(Rev.1-2)</w:t>
            </w:r>
          </w:p>
        </w:tc>
        <w:tc>
          <w:tcPr>
            <w:tcW w:w="702" w:type="pct"/>
            <w:tcBorders>
              <w:top w:val="single" w:sz="2" w:space="0" w:color="auto"/>
              <w:left w:val="single" w:sz="2" w:space="0" w:color="auto"/>
              <w:bottom w:val="single" w:sz="4" w:space="0" w:color="auto"/>
              <w:right w:val="single" w:sz="2" w:space="0" w:color="auto"/>
            </w:tcBorders>
            <w:noWrap/>
          </w:tcPr>
          <w:p w:rsidR="005D275B" w:rsidRPr="00501643" w:rsidRDefault="005D275B" w:rsidP="00C65119">
            <w:pPr>
              <w:pStyle w:val="Tabletext"/>
            </w:pPr>
            <w:r w:rsidRPr="00501643">
              <w:t>2011-06-02</w:t>
            </w:r>
          </w:p>
        </w:tc>
        <w:tc>
          <w:tcPr>
            <w:tcW w:w="1250" w:type="pct"/>
            <w:tcBorders>
              <w:top w:val="single" w:sz="2" w:space="0" w:color="auto"/>
              <w:left w:val="single" w:sz="2" w:space="0" w:color="auto"/>
              <w:bottom w:val="single" w:sz="4" w:space="0" w:color="auto"/>
              <w:right w:val="single" w:sz="2" w:space="0" w:color="auto"/>
            </w:tcBorders>
          </w:tcPr>
          <w:p w:rsidR="005D275B" w:rsidRPr="00250D23" w:rsidRDefault="005D275B" w:rsidP="00C65119">
            <w:pPr>
              <w:pStyle w:val="Tabletext"/>
              <w:rPr>
                <w:lang w:val="en-US"/>
              </w:rPr>
            </w:pPr>
            <w:r w:rsidRPr="00250D23">
              <w:rPr>
                <w:lang w:val="en-US"/>
              </w:rPr>
              <w:t>ITU-D Co-Chairman, Joint Group on Resolution 9</w:t>
            </w:r>
          </w:p>
        </w:tc>
        <w:tc>
          <w:tcPr>
            <w:tcW w:w="1874" w:type="pct"/>
            <w:tcBorders>
              <w:top w:val="single" w:sz="2" w:space="0" w:color="auto"/>
              <w:left w:val="single" w:sz="2" w:space="0" w:color="auto"/>
              <w:bottom w:val="single" w:sz="4" w:space="0" w:color="auto"/>
              <w:right w:val="single" w:sz="2" w:space="0" w:color="auto"/>
            </w:tcBorders>
          </w:tcPr>
          <w:p w:rsidR="005D275B" w:rsidRPr="00501643" w:rsidRDefault="005D275B" w:rsidP="009D334A">
            <w:pPr>
              <w:pStyle w:val="Tabletext"/>
            </w:pPr>
            <w:r w:rsidRPr="00501643">
              <w:t>Programme de travail pour la Résolution</w:t>
            </w:r>
            <w:r>
              <w:t> </w:t>
            </w:r>
            <w:r w:rsidRPr="00501643">
              <w:t>9 (Rev. Hyderabad, 2010)</w:t>
            </w:r>
          </w:p>
        </w:tc>
        <w:tc>
          <w:tcPr>
            <w:tcW w:w="680" w:type="pct"/>
            <w:tcBorders>
              <w:top w:val="single" w:sz="2" w:space="0" w:color="auto"/>
              <w:left w:val="single" w:sz="2" w:space="0" w:color="auto"/>
              <w:bottom w:val="single" w:sz="4" w:space="0" w:color="auto"/>
              <w:right w:val="single" w:sz="2" w:space="0" w:color="auto"/>
            </w:tcBorders>
          </w:tcPr>
          <w:p w:rsidR="005D275B" w:rsidRPr="00501643" w:rsidRDefault="005D275B" w:rsidP="009D334A">
            <w:pPr>
              <w:pStyle w:val="Tabletext"/>
            </w:pPr>
            <w:r w:rsidRPr="00501643">
              <w:t>WP, RES.9</w:t>
            </w:r>
          </w:p>
        </w:tc>
      </w:tr>
    </w:tbl>
    <w:p w:rsidR="00E326D4" w:rsidRPr="00C65119" w:rsidRDefault="00E326D4" w:rsidP="009D334A">
      <w:pPr>
        <w:spacing w:before="0"/>
        <w:rPr>
          <w:rFonts w:cs="Times New Roman Bold"/>
          <w:b/>
          <w:bCs/>
          <w:sz w:val="6"/>
          <w:szCs w:val="21"/>
          <w:lang w:val="en-US"/>
        </w:rPr>
      </w:pPr>
    </w:p>
    <w:p w:rsidR="00E326D4" w:rsidRDefault="00E326D4" w:rsidP="00E326D4">
      <w:pPr>
        <w:pStyle w:val="Heading2"/>
      </w:pPr>
      <w:bookmarkStart w:id="69" w:name="_Toc380408338"/>
      <w:r w:rsidRPr="00E326D4">
        <w:lastRenderedPageBreak/>
        <w:t>3.3</w:t>
      </w:r>
      <w:r>
        <w:tab/>
      </w:r>
      <w:r w:rsidRPr="00E326D4">
        <w:t>Documents for information</w:t>
      </w:r>
      <w:bookmarkEnd w:id="69"/>
    </w:p>
    <w:p w:rsidR="00E326D4" w:rsidRPr="00C65119" w:rsidRDefault="00E326D4" w:rsidP="00E326D4">
      <w:pPr>
        <w:rPr>
          <w:rFonts w:cs="Times New Roman Bold"/>
          <w:b/>
          <w:bCs/>
          <w:sz w:val="6"/>
          <w:szCs w:val="21"/>
          <w:lang w:val="en-US"/>
        </w:rPr>
      </w:pPr>
    </w:p>
    <w:tbl>
      <w:tblPr>
        <w:tblW w:w="9072" w:type="dxa"/>
        <w:jc w:val="center"/>
        <w:tblBorders>
          <w:top w:val="single" w:sz="2" w:space="0" w:color="auto"/>
          <w:left w:val="single" w:sz="2" w:space="0" w:color="auto"/>
          <w:bottom w:val="single" w:sz="4" w:space="0" w:color="auto"/>
          <w:right w:val="single" w:sz="2" w:space="0" w:color="auto"/>
          <w:insideH w:val="single" w:sz="2" w:space="0" w:color="auto"/>
          <w:insideV w:val="single" w:sz="2" w:space="0" w:color="auto"/>
        </w:tblBorders>
        <w:shd w:val="clear" w:color="auto" w:fill="E8F8FD"/>
        <w:tblLook w:val="04A0" w:firstRow="1" w:lastRow="0" w:firstColumn="1" w:lastColumn="0" w:noHBand="0" w:noVBand="1"/>
      </w:tblPr>
      <w:tblGrid>
        <w:gridCol w:w="895"/>
        <w:gridCol w:w="1334"/>
        <w:gridCol w:w="2148"/>
        <w:gridCol w:w="3380"/>
        <w:gridCol w:w="1315"/>
      </w:tblGrid>
      <w:tr w:rsidR="00E326D4" w:rsidRPr="009D334A" w:rsidTr="00AC1264">
        <w:trPr>
          <w:trHeight w:val="870"/>
          <w:jc w:val="center"/>
        </w:trPr>
        <w:tc>
          <w:tcPr>
            <w:tcW w:w="493" w:type="pct"/>
            <w:shd w:val="clear" w:color="auto" w:fill="E8F8FD"/>
          </w:tcPr>
          <w:p w:rsidR="00E326D4" w:rsidRPr="009D334A" w:rsidRDefault="005F357A" w:rsidP="009D334A">
            <w:pPr>
              <w:pStyle w:val="Tabletext"/>
            </w:pPr>
            <w:hyperlink r:id="rId103" w:history="1">
              <w:r w:rsidR="005D275B">
                <w:rPr>
                  <w:rStyle w:val="Hyperlink"/>
                </w:rPr>
                <w:t>[INF 30]</w:t>
              </w:r>
            </w:hyperlink>
          </w:p>
        </w:tc>
        <w:tc>
          <w:tcPr>
            <w:tcW w:w="735" w:type="pct"/>
            <w:shd w:val="clear" w:color="auto" w:fill="E8F8FD"/>
            <w:noWrap/>
          </w:tcPr>
          <w:p w:rsidR="00E326D4" w:rsidRPr="009D334A" w:rsidRDefault="00E326D4" w:rsidP="009D334A">
            <w:pPr>
              <w:pStyle w:val="Tabletext"/>
            </w:pPr>
            <w:r w:rsidRPr="009D334A">
              <w:t>2011-08-08</w:t>
            </w:r>
          </w:p>
        </w:tc>
        <w:tc>
          <w:tcPr>
            <w:tcW w:w="1184" w:type="pct"/>
            <w:shd w:val="clear" w:color="auto" w:fill="E8F8FD"/>
          </w:tcPr>
          <w:p w:rsidR="00E326D4" w:rsidRPr="009D334A" w:rsidRDefault="00E326D4" w:rsidP="009D334A">
            <w:pPr>
              <w:pStyle w:val="Tabletext"/>
            </w:pPr>
            <w:r w:rsidRPr="009D334A">
              <w:t>Cuba</w:t>
            </w:r>
          </w:p>
        </w:tc>
        <w:tc>
          <w:tcPr>
            <w:tcW w:w="1863" w:type="pct"/>
            <w:shd w:val="clear" w:color="auto" w:fill="E8F8FD"/>
          </w:tcPr>
          <w:p w:rsidR="00E326D4" w:rsidRPr="00250D23" w:rsidRDefault="00E326D4" w:rsidP="009D334A">
            <w:pPr>
              <w:pStyle w:val="Tabletext"/>
              <w:rPr>
                <w:lang w:val="es-ES"/>
              </w:rPr>
            </w:pPr>
            <w:r w:rsidRPr="00250D23">
              <w:rPr>
                <w:lang w:val="es-ES"/>
              </w:rPr>
              <w:t>Valoración del uso del espectro radioeléctrico destinado a radiocomunicaciones.</w:t>
            </w:r>
          </w:p>
        </w:tc>
        <w:tc>
          <w:tcPr>
            <w:tcW w:w="725" w:type="pct"/>
            <w:shd w:val="clear" w:color="auto" w:fill="E8F8FD"/>
          </w:tcPr>
          <w:p w:rsidR="00E326D4" w:rsidRPr="009D334A" w:rsidRDefault="00E326D4" w:rsidP="009D334A">
            <w:pPr>
              <w:pStyle w:val="Tabletext"/>
            </w:pPr>
            <w:r w:rsidRPr="009D334A">
              <w:t>RES.9</w:t>
            </w:r>
          </w:p>
        </w:tc>
      </w:tr>
    </w:tbl>
    <w:p w:rsidR="00E326D4" w:rsidRPr="00C65119" w:rsidRDefault="00E326D4" w:rsidP="00E326D4">
      <w:pPr>
        <w:rPr>
          <w:rFonts w:cs="Times New Roman Bold"/>
          <w:b/>
          <w:bCs/>
          <w:sz w:val="8"/>
          <w:szCs w:val="21"/>
          <w:lang w:val="en-US"/>
        </w:rPr>
      </w:pPr>
    </w:p>
    <w:p w:rsidR="00E326D4" w:rsidRDefault="00E326D4" w:rsidP="00E326D4">
      <w:pPr>
        <w:pStyle w:val="Heading2"/>
      </w:pPr>
      <w:bookmarkStart w:id="70" w:name="_Toc380408339"/>
      <w:r w:rsidRPr="00E326D4">
        <w:t>3.4</w:t>
      </w:r>
      <w:r>
        <w:tab/>
      </w:r>
      <w:r w:rsidRPr="00E326D4">
        <w:t>Meeting Report</w:t>
      </w:r>
      <w:bookmarkEnd w:id="70"/>
    </w:p>
    <w:p w:rsidR="00E326D4" w:rsidRPr="00C65119" w:rsidRDefault="00E326D4" w:rsidP="00E326D4">
      <w:pPr>
        <w:rPr>
          <w:rFonts w:cs="Times New Roman Bold"/>
          <w:b/>
          <w:bCs/>
          <w:sz w:val="8"/>
          <w:szCs w:val="21"/>
          <w:lang w:val="en-US"/>
        </w:rPr>
      </w:pPr>
    </w:p>
    <w:tbl>
      <w:tblPr>
        <w:tblW w:w="9072" w:type="dxa"/>
        <w:jc w:val="center"/>
        <w:tblBorders>
          <w:top w:val="single" w:sz="2" w:space="0" w:color="auto"/>
          <w:left w:val="single" w:sz="2" w:space="0" w:color="auto"/>
          <w:bottom w:val="single" w:sz="4" w:space="0" w:color="auto"/>
          <w:right w:val="single" w:sz="2" w:space="0" w:color="auto"/>
          <w:insideH w:val="single" w:sz="2" w:space="0" w:color="auto"/>
          <w:insideV w:val="single" w:sz="2" w:space="0" w:color="auto"/>
        </w:tblBorders>
        <w:shd w:val="clear" w:color="auto" w:fill="E8F8FD"/>
        <w:tblLook w:val="04A0" w:firstRow="1" w:lastRow="0" w:firstColumn="1" w:lastColumn="0" w:noHBand="0" w:noVBand="1"/>
      </w:tblPr>
      <w:tblGrid>
        <w:gridCol w:w="895"/>
        <w:gridCol w:w="1334"/>
        <w:gridCol w:w="2148"/>
        <w:gridCol w:w="3380"/>
        <w:gridCol w:w="1315"/>
      </w:tblGrid>
      <w:tr w:rsidR="00E326D4" w:rsidRPr="00E326D4" w:rsidTr="00AC1264">
        <w:trPr>
          <w:trHeight w:val="870"/>
          <w:jc w:val="center"/>
        </w:trPr>
        <w:tc>
          <w:tcPr>
            <w:tcW w:w="493" w:type="pct"/>
            <w:shd w:val="clear" w:color="auto" w:fill="E8F8FD"/>
          </w:tcPr>
          <w:p w:rsidR="005D275B" w:rsidRPr="005D275B" w:rsidRDefault="005F357A" w:rsidP="005D275B">
            <w:pPr>
              <w:pStyle w:val="Tabletext"/>
            </w:pPr>
            <w:hyperlink r:id="rId104" w:history="1">
              <w:r w:rsidR="005D275B" w:rsidRPr="005D275B">
                <w:rPr>
                  <w:rStyle w:val="Hyperlink"/>
                </w:rPr>
                <w:t>[ R 12 ]</w:t>
              </w:r>
            </w:hyperlink>
          </w:p>
          <w:p w:rsidR="00E326D4" w:rsidRPr="005D275B" w:rsidRDefault="005D275B" w:rsidP="005D275B">
            <w:pPr>
              <w:pStyle w:val="Tabletext"/>
            </w:pPr>
            <w:r w:rsidRPr="005D275B">
              <w:t>(Rev.1)</w:t>
            </w:r>
          </w:p>
        </w:tc>
        <w:tc>
          <w:tcPr>
            <w:tcW w:w="735" w:type="pct"/>
            <w:shd w:val="clear" w:color="auto" w:fill="E8F8FD"/>
            <w:noWrap/>
          </w:tcPr>
          <w:p w:rsidR="00E326D4" w:rsidRPr="00E326D4" w:rsidRDefault="00E326D4" w:rsidP="00C65119">
            <w:pPr>
              <w:pStyle w:val="Tabletext"/>
              <w:rPr>
                <w:lang w:val="en-US"/>
              </w:rPr>
            </w:pPr>
            <w:r w:rsidRPr="00E326D4">
              <w:rPr>
                <w:lang w:val="en-US"/>
              </w:rPr>
              <w:t>2011-09-12</w:t>
            </w:r>
          </w:p>
        </w:tc>
        <w:tc>
          <w:tcPr>
            <w:tcW w:w="1184" w:type="pct"/>
            <w:shd w:val="clear" w:color="auto" w:fill="E8F8FD"/>
          </w:tcPr>
          <w:p w:rsidR="00E326D4" w:rsidRPr="00E326D4" w:rsidRDefault="00E326D4" w:rsidP="005D275B">
            <w:pPr>
              <w:pStyle w:val="Tabletext"/>
              <w:rPr>
                <w:lang w:val="en-US"/>
              </w:rPr>
            </w:pPr>
            <w:r w:rsidRPr="00E326D4">
              <w:rPr>
                <w:lang w:val="en-US"/>
              </w:rPr>
              <w:t>ITU-D Co-Chairman, Joint Group on Resolution 9</w:t>
            </w:r>
          </w:p>
        </w:tc>
        <w:tc>
          <w:tcPr>
            <w:tcW w:w="1863" w:type="pct"/>
            <w:shd w:val="clear" w:color="auto" w:fill="E8F8FD"/>
          </w:tcPr>
          <w:p w:rsidR="00E326D4" w:rsidRPr="00E326D4" w:rsidRDefault="00E326D4" w:rsidP="00C65119">
            <w:pPr>
              <w:pStyle w:val="Tabletext"/>
              <w:rPr>
                <w:lang w:val="en-US"/>
              </w:rPr>
            </w:pPr>
            <w:r w:rsidRPr="00E326D4">
              <w:rPr>
                <w:lang w:val="en-US"/>
              </w:rPr>
              <w:t>Report of the Meeting of the Joint Group on Resolution 9 (Rev. Hyderabad, 2010), Geneva, 12 September 2011, 1115 - 1230</w:t>
            </w:r>
          </w:p>
        </w:tc>
        <w:tc>
          <w:tcPr>
            <w:tcW w:w="725" w:type="pct"/>
            <w:shd w:val="clear" w:color="auto" w:fill="E8F8FD"/>
          </w:tcPr>
          <w:p w:rsidR="00E326D4" w:rsidRPr="00E326D4" w:rsidRDefault="00E326D4" w:rsidP="00C65119">
            <w:pPr>
              <w:pStyle w:val="Tabletext"/>
              <w:rPr>
                <w:lang w:val="en-US"/>
              </w:rPr>
            </w:pPr>
            <w:r w:rsidRPr="00E326D4">
              <w:rPr>
                <w:lang w:val="en-US"/>
              </w:rPr>
              <w:t>RES.9</w:t>
            </w:r>
          </w:p>
        </w:tc>
      </w:tr>
    </w:tbl>
    <w:p w:rsidR="00C65119" w:rsidRPr="00C65119" w:rsidRDefault="00C65119" w:rsidP="00C65119">
      <w:pPr>
        <w:rPr>
          <w:sz w:val="6"/>
        </w:rPr>
      </w:pPr>
    </w:p>
    <w:p w:rsidR="00E326D4" w:rsidRPr="00E326D4" w:rsidRDefault="00E326D4" w:rsidP="00E326D4">
      <w:pPr>
        <w:pStyle w:val="Heading1"/>
      </w:pPr>
      <w:bookmarkStart w:id="71" w:name="_Toc380408340"/>
      <w:r w:rsidRPr="00E326D4">
        <w:t>IV</w:t>
      </w:r>
      <w:r>
        <w:tab/>
      </w:r>
      <w:r w:rsidRPr="00E326D4">
        <w:t>Meeting of Joint Group on Resolution 9 (21 September 2012)</w:t>
      </w:r>
      <w:bookmarkEnd w:id="71"/>
    </w:p>
    <w:p w:rsidR="00E326D4" w:rsidRDefault="00E326D4" w:rsidP="00E326D4">
      <w:pPr>
        <w:pStyle w:val="Heading2"/>
      </w:pPr>
      <w:bookmarkStart w:id="72" w:name="_Toc380408341"/>
      <w:r w:rsidRPr="00E326D4">
        <w:t>4.1</w:t>
      </w:r>
      <w:r>
        <w:tab/>
      </w:r>
      <w:r w:rsidRPr="00E326D4">
        <w:t>Agenda</w:t>
      </w:r>
      <w:bookmarkEnd w:id="72"/>
      <w:r w:rsidRPr="00E326D4">
        <w:t xml:space="preserve"> </w:t>
      </w:r>
    </w:p>
    <w:p w:rsidR="00E326D4" w:rsidRPr="00C65119" w:rsidRDefault="00E326D4" w:rsidP="00E326D4">
      <w:pPr>
        <w:rPr>
          <w:sz w:val="6"/>
          <w:lang w:val="en-US"/>
        </w:rPr>
      </w:pP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815"/>
        <w:gridCol w:w="1355"/>
        <w:gridCol w:w="2168"/>
        <w:gridCol w:w="3400"/>
        <w:gridCol w:w="1334"/>
      </w:tblGrid>
      <w:tr w:rsidR="00E326D4" w:rsidRPr="00C65119" w:rsidTr="005D275B">
        <w:trPr>
          <w:tblHeader/>
          <w:jc w:val="center"/>
        </w:trPr>
        <w:tc>
          <w:tcPr>
            <w:tcW w:w="449"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C65119" w:rsidRDefault="00E326D4" w:rsidP="00C65119">
            <w:pPr>
              <w:pStyle w:val="Tablehead"/>
            </w:pPr>
            <w:r w:rsidRPr="00C65119">
              <w:t>Web</w:t>
            </w:r>
          </w:p>
        </w:tc>
        <w:tc>
          <w:tcPr>
            <w:tcW w:w="747"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C65119" w:rsidRDefault="00E326D4" w:rsidP="00C65119">
            <w:pPr>
              <w:pStyle w:val="Tablehead"/>
            </w:pPr>
            <w:r w:rsidRPr="00C65119">
              <w:t>Received</w:t>
            </w:r>
          </w:p>
        </w:tc>
        <w:tc>
          <w:tcPr>
            <w:tcW w:w="1195"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C65119" w:rsidRDefault="00E326D4" w:rsidP="00C65119">
            <w:pPr>
              <w:pStyle w:val="Tablehead"/>
            </w:pPr>
            <w:r w:rsidRPr="00C65119">
              <w:t>Source</w:t>
            </w:r>
          </w:p>
        </w:tc>
        <w:tc>
          <w:tcPr>
            <w:tcW w:w="1874"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C65119" w:rsidRDefault="00E326D4" w:rsidP="00C65119">
            <w:pPr>
              <w:pStyle w:val="Tablehead"/>
            </w:pPr>
            <w:r w:rsidRPr="00C65119">
              <w:t>Title</w:t>
            </w:r>
          </w:p>
        </w:tc>
        <w:tc>
          <w:tcPr>
            <w:tcW w:w="736"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C65119" w:rsidRDefault="00E326D4" w:rsidP="00C65119">
            <w:pPr>
              <w:pStyle w:val="Tablehead"/>
            </w:pPr>
            <w:r w:rsidRPr="00C65119">
              <w:t>Questions</w:t>
            </w:r>
          </w:p>
        </w:tc>
      </w:tr>
      <w:tr w:rsidR="005D275B" w:rsidRPr="00C65119" w:rsidTr="005D275B">
        <w:trPr>
          <w:trHeight w:val="870"/>
          <w:jc w:val="center"/>
        </w:trPr>
        <w:tc>
          <w:tcPr>
            <w:tcW w:w="449" w:type="pct"/>
            <w:tcBorders>
              <w:top w:val="single" w:sz="2" w:space="0" w:color="auto"/>
              <w:left w:val="single" w:sz="2" w:space="0" w:color="auto"/>
              <w:bottom w:val="single" w:sz="4" w:space="0" w:color="auto"/>
              <w:right w:val="single" w:sz="2" w:space="0" w:color="auto"/>
            </w:tcBorders>
            <w:shd w:val="clear" w:color="auto" w:fill="E8F8FD"/>
            <w:hideMark/>
          </w:tcPr>
          <w:p w:rsidR="005D275B" w:rsidRPr="00C65119" w:rsidRDefault="005F357A" w:rsidP="00C65119">
            <w:pPr>
              <w:pStyle w:val="Tabletext"/>
            </w:pPr>
            <w:hyperlink r:id="rId105" w:history="1">
              <w:r w:rsidR="005D275B" w:rsidRPr="003C6750">
                <w:rPr>
                  <w:rStyle w:val="Hyperlink"/>
                  <w:lang w:val="en-US"/>
                </w:rPr>
                <w:t xml:space="preserve">OJ 1 </w:t>
              </w:r>
            </w:hyperlink>
          </w:p>
        </w:tc>
        <w:tc>
          <w:tcPr>
            <w:tcW w:w="747" w:type="pct"/>
            <w:tcBorders>
              <w:top w:val="single" w:sz="2" w:space="0" w:color="auto"/>
              <w:left w:val="single" w:sz="2" w:space="0" w:color="auto"/>
              <w:bottom w:val="single" w:sz="4" w:space="0" w:color="auto"/>
              <w:right w:val="single" w:sz="2" w:space="0" w:color="auto"/>
            </w:tcBorders>
            <w:shd w:val="clear" w:color="auto" w:fill="E8F8FD"/>
            <w:noWrap/>
            <w:hideMark/>
          </w:tcPr>
          <w:p w:rsidR="005D275B" w:rsidRPr="00C65119" w:rsidRDefault="005D275B" w:rsidP="00C65119">
            <w:pPr>
              <w:pStyle w:val="Tabletext"/>
            </w:pPr>
            <w:r w:rsidRPr="00C65119">
              <w:t>2012-08-06</w:t>
            </w:r>
          </w:p>
        </w:tc>
        <w:tc>
          <w:tcPr>
            <w:tcW w:w="1195" w:type="pct"/>
            <w:tcBorders>
              <w:top w:val="single" w:sz="2" w:space="0" w:color="auto"/>
              <w:left w:val="single" w:sz="2" w:space="0" w:color="auto"/>
              <w:bottom w:val="single" w:sz="4" w:space="0" w:color="auto"/>
              <w:right w:val="single" w:sz="2" w:space="0" w:color="auto"/>
            </w:tcBorders>
            <w:shd w:val="clear" w:color="auto" w:fill="E8F8FD"/>
            <w:hideMark/>
          </w:tcPr>
          <w:p w:rsidR="005D275B" w:rsidRPr="005D275B" w:rsidRDefault="005F357A" w:rsidP="005D275B">
            <w:pPr>
              <w:pStyle w:val="Tabletext"/>
              <w:rPr>
                <w:lang w:val="en-US"/>
              </w:rPr>
            </w:pPr>
            <w:hyperlink r:id="rId106" w:history="1">
              <w:r w:rsidR="005D275B" w:rsidRPr="005D275B">
                <w:rPr>
                  <w:rStyle w:val="Hyperlink"/>
                  <w:lang w:val="en-US"/>
                </w:rPr>
                <w:t>Chairman, ITU-D Study Group 2</w:t>
              </w:r>
            </w:hyperlink>
          </w:p>
        </w:tc>
        <w:tc>
          <w:tcPr>
            <w:tcW w:w="1874" w:type="pct"/>
            <w:tcBorders>
              <w:top w:val="single" w:sz="2" w:space="0" w:color="auto"/>
              <w:left w:val="single" w:sz="2" w:space="0" w:color="auto"/>
              <w:bottom w:val="single" w:sz="4" w:space="0" w:color="auto"/>
              <w:right w:val="single" w:sz="2" w:space="0" w:color="auto"/>
            </w:tcBorders>
            <w:shd w:val="clear" w:color="auto" w:fill="E8F8FD"/>
            <w:hideMark/>
          </w:tcPr>
          <w:p w:rsidR="005D275B" w:rsidRPr="00250D23" w:rsidRDefault="005D275B" w:rsidP="009D334A">
            <w:pPr>
              <w:pStyle w:val="Tabletext"/>
              <w:rPr>
                <w:lang w:val="en-US"/>
              </w:rPr>
            </w:pPr>
            <w:r w:rsidRPr="00250D23">
              <w:rPr>
                <w:lang w:val="en-US"/>
              </w:rPr>
              <w:t>Draft Agenda for the ITU-D/ITU-R Joint Group Meeting for Resolution 9 (Rev. Hyderabad, 2010), Geneva, Geneva, Friday 21 September 2012.  </w:t>
            </w:r>
          </w:p>
        </w:tc>
        <w:tc>
          <w:tcPr>
            <w:tcW w:w="736" w:type="pct"/>
            <w:tcBorders>
              <w:top w:val="single" w:sz="2" w:space="0" w:color="auto"/>
              <w:left w:val="single" w:sz="2" w:space="0" w:color="auto"/>
              <w:bottom w:val="single" w:sz="4" w:space="0" w:color="auto"/>
              <w:right w:val="single" w:sz="2" w:space="0" w:color="auto"/>
            </w:tcBorders>
            <w:shd w:val="clear" w:color="auto" w:fill="E8F8FD"/>
            <w:hideMark/>
          </w:tcPr>
          <w:p w:rsidR="005D275B" w:rsidRPr="00C65119" w:rsidRDefault="005D275B" w:rsidP="00C65119">
            <w:pPr>
              <w:pStyle w:val="Tabletext"/>
            </w:pPr>
            <w:r w:rsidRPr="00C65119">
              <w:t>RES9</w:t>
            </w:r>
          </w:p>
        </w:tc>
      </w:tr>
    </w:tbl>
    <w:p w:rsidR="00E326D4" w:rsidRDefault="00E326D4" w:rsidP="00AC1264">
      <w:pPr>
        <w:spacing w:before="0"/>
      </w:pPr>
    </w:p>
    <w:p w:rsidR="00E326D4" w:rsidRDefault="00E326D4" w:rsidP="00E326D4">
      <w:pPr>
        <w:pStyle w:val="Heading2"/>
      </w:pPr>
      <w:bookmarkStart w:id="73" w:name="_Toc380408342"/>
      <w:r w:rsidRPr="00E326D4">
        <w:t>4.2</w:t>
      </w:r>
      <w:r>
        <w:tab/>
      </w:r>
      <w:r w:rsidRPr="00E326D4">
        <w:t>Contributions</w:t>
      </w:r>
      <w:bookmarkEnd w:id="73"/>
    </w:p>
    <w:p w:rsidR="00E326D4" w:rsidRPr="00C65119" w:rsidRDefault="00E326D4" w:rsidP="00E326D4">
      <w:pPr>
        <w:rPr>
          <w:rFonts w:cs="Times New Roman Bold"/>
          <w:b/>
          <w:bCs/>
          <w:sz w:val="6"/>
          <w:szCs w:val="21"/>
        </w:rPr>
      </w:pP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045"/>
        <w:gridCol w:w="1265"/>
        <w:gridCol w:w="2185"/>
        <w:gridCol w:w="3260"/>
        <w:gridCol w:w="1317"/>
      </w:tblGrid>
      <w:tr w:rsidR="00E326D4" w:rsidRPr="00C65119" w:rsidTr="00AC1264">
        <w:trPr>
          <w:tblHeader/>
          <w:jc w:val="center"/>
        </w:trPr>
        <w:tc>
          <w:tcPr>
            <w:tcW w:w="576"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C65119" w:rsidRDefault="00E326D4" w:rsidP="00C65119">
            <w:pPr>
              <w:pStyle w:val="Tablehead"/>
            </w:pPr>
            <w:r w:rsidRPr="00C65119">
              <w:t>Web</w:t>
            </w:r>
          </w:p>
        </w:tc>
        <w:tc>
          <w:tcPr>
            <w:tcW w:w="697"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C65119" w:rsidRDefault="00E326D4" w:rsidP="00C65119">
            <w:pPr>
              <w:pStyle w:val="Tablehead"/>
            </w:pPr>
            <w:r w:rsidRPr="00C65119">
              <w:t>Received</w:t>
            </w:r>
          </w:p>
        </w:tc>
        <w:tc>
          <w:tcPr>
            <w:tcW w:w="1204"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C65119" w:rsidRDefault="00E326D4" w:rsidP="00C65119">
            <w:pPr>
              <w:pStyle w:val="Tablehead"/>
            </w:pPr>
            <w:r w:rsidRPr="00C65119">
              <w:t>Source</w:t>
            </w:r>
          </w:p>
        </w:tc>
        <w:tc>
          <w:tcPr>
            <w:tcW w:w="1797"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C65119" w:rsidRDefault="00E326D4" w:rsidP="00C65119">
            <w:pPr>
              <w:pStyle w:val="Tablehead"/>
            </w:pPr>
            <w:r w:rsidRPr="00C65119">
              <w:t>Title</w:t>
            </w:r>
          </w:p>
        </w:tc>
        <w:tc>
          <w:tcPr>
            <w:tcW w:w="726"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C65119" w:rsidRDefault="00E326D4" w:rsidP="00C65119">
            <w:pPr>
              <w:pStyle w:val="Tablehead"/>
            </w:pPr>
            <w:r w:rsidRPr="00C65119">
              <w:t>Questions</w:t>
            </w:r>
          </w:p>
        </w:tc>
      </w:tr>
      <w:tr w:rsidR="00A44737" w:rsidRPr="00C65119" w:rsidTr="00AC1264">
        <w:trPr>
          <w:jc w:val="center"/>
        </w:trPr>
        <w:tc>
          <w:tcPr>
            <w:tcW w:w="576" w:type="pct"/>
            <w:tcBorders>
              <w:top w:val="single" w:sz="2" w:space="0" w:color="auto"/>
              <w:left w:val="single" w:sz="2" w:space="0" w:color="auto"/>
              <w:bottom w:val="single" w:sz="2" w:space="0" w:color="auto"/>
              <w:right w:val="single" w:sz="2" w:space="0" w:color="auto"/>
            </w:tcBorders>
            <w:shd w:val="clear" w:color="auto" w:fill="E8F8FD"/>
            <w:hideMark/>
          </w:tcPr>
          <w:p w:rsidR="00A44737" w:rsidRPr="00C65119" w:rsidRDefault="00A44737" w:rsidP="00C65119">
            <w:pPr>
              <w:pStyle w:val="Tabletext"/>
            </w:pPr>
            <w:r w:rsidRPr="00C65119">
              <w:t>C 9</w:t>
            </w:r>
          </w:p>
        </w:tc>
        <w:tc>
          <w:tcPr>
            <w:tcW w:w="697" w:type="pct"/>
            <w:tcBorders>
              <w:top w:val="single" w:sz="2" w:space="0" w:color="auto"/>
              <w:left w:val="single" w:sz="2" w:space="0" w:color="auto"/>
              <w:bottom w:val="single" w:sz="2" w:space="0" w:color="auto"/>
              <w:right w:val="single" w:sz="2" w:space="0" w:color="auto"/>
            </w:tcBorders>
            <w:shd w:val="clear" w:color="auto" w:fill="E8F8FD"/>
            <w:noWrap/>
            <w:hideMark/>
          </w:tcPr>
          <w:p w:rsidR="00A44737" w:rsidRPr="00C65119" w:rsidRDefault="00A44737" w:rsidP="00C65119">
            <w:pPr>
              <w:pStyle w:val="Tabletext"/>
            </w:pPr>
            <w:r w:rsidRPr="00C65119">
              <w:t>2012-07-19</w:t>
            </w:r>
          </w:p>
        </w:tc>
        <w:tc>
          <w:tcPr>
            <w:tcW w:w="1204" w:type="pct"/>
            <w:tcBorders>
              <w:top w:val="single" w:sz="2" w:space="0" w:color="auto"/>
              <w:left w:val="single" w:sz="2" w:space="0" w:color="auto"/>
              <w:bottom w:val="single" w:sz="2" w:space="0" w:color="auto"/>
              <w:right w:val="single" w:sz="2" w:space="0" w:color="auto"/>
            </w:tcBorders>
            <w:shd w:val="clear" w:color="auto" w:fill="E8F8FD"/>
            <w:hideMark/>
          </w:tcPr>
          <w:p w:rsidR="00A44737" w:rsidRPr="00A44737" w:rsidRDefault="005F357A" w:rsidP="00A44737">
            <w:pPr>
              <w:pStyle w:val="Tabletext"/>
              <w:rPr>
                <w:lang w:val="en-US"/>
              </w:rPr>
            </w:pPr>
            <w:hyperlink r:id="rId107" w:history="1">
              <w:r w:rsidR="00A44737" w:rsidRPr="00A44737">
                <w:rPr>
                  <w:rStyle w:val="Hyperlink"/>
                  <w:lang w:val="en-US"/>
                </w:rPr>
                <w:t>BDT Focal Point for Resolution 9</w:t>
              </w:r>
            </w:hyperlink>
          </w:p>
        </w:tc>
        <w:tc>
          <w:tcPr>
            <w:tcW w:w="1797" w:type="pct"/>
            <w:tcBorders>
              <w:top w:val="single" w:sz="2" w:space="0" w:color="auto"/>
              <w:left w:val="single" w:sz="2" w:space="0" w:color="auto"/>
              <w:bottom w:val="single" w:sz="2" w:space="0" w:color="auto"/>
              <w:right w:val="single" w:sz="2" w:space="0" w:color="auto"/>
            </w:tcBorders>
            <w:shd w:val="clear" w:color="auto" w:fill="E8F8FD"/>
            <w:hideMark/>
          </w:tcPr>
          <w:p w:rsidR="00A44737" w:rsidRPr="00250D23" w:rsidRDefault="00A44737" w:rsidP="00C65119">
            <w:pPr>
              <w:pStyle w:val="Tabletext"/>
              <w:rPr>
                <w:lang w:val="en-US"/>
              </w:rPr>
            </w:pPr>
            <w:r w:rsidRPr="00250D23">
              <w:rPr>
                <w:lang w:val="en-US"/>
              </w:rPr>
              <w:t>BDT Spectrum Management Assessment and other Assistance</w:t>
            </w:r>
          </w:p>
        </w:tc>
        <w:tc>
          <w:tcPr>
            <w:tcW w:w="726" w:type="pct"/>
            <w:tcBorders>
              <w:top w:val="single" w:sz="2" w:space="0" w:color="auto"/>
              <w:left w:val="single" w:sz="2" w:space="0" w:color="auto"/>
              <w:bottom w:val="single" w:sz="2" w:space="0" w:color="auto"/>
              <w:right w:val="single" w:sz="2" w:space="0" w:color="auto"/>
            </w:tcBorders>
            <w:shd w:val="clear" w:color="auto" w:fill="E8F8FD"/>
            <w:hideMark/>
          </w:tcPr>
          <w:p w:rsidR="00A44737" w:rsidRPr="00C65119" w:rsidRDefault="00A44737" w:rsidP="00C65119">
            <w:pPr>
              <w:pStyle w:val="Tabletext"/>
            </w:pPr>
            <w:r w:rsidRPr="00C65119">
              <w:t>RES.9</w:t>
            </w:r>
          </w:p>
        </w:tc>
      </w:tr>
      <w:tr w:rsidR="00A44737" w:rsidRPr="00C65119" w:rsidTr="00AC1264">
        <w:trPr>
          <w:jc w:val="center"/>
        </w:trPr>
        <w:tc>
          <w:tcPr>
            <w:tcW w:w="576" w:type="pct"/>
            <w:tcBorders>
              <w:top w:val="single" w:sz="2" w:space="0" w:color="auto"/>
              <w:left w:val="single" w:sz="2" w:space="0" w:color="auto"/>
              <w:bottom w:val="single" w:sz="2" w:space="0" w:color="auto"/>
              <w:right w:val="single" w:sz="2" w:space="0" w:color="auto"/>
            </w:tcBorders>
            <w:hideMark/>
          </w:tcPr>
          <w:p w:rsidR="00A44737" w:rsidRPr="00C65119" w:rsidRDefault="00A44737" w:rsidP="00C65119">
            <w:pPr>
              <w:pStyle w:val="Tabletext"/>
            </w:pPr>
            <w:r w:rsidRPr="00C65119">
              <w:t>C 10</w:t>
            </w:r>
          </w:p>
        </w:tc>
        <w:tc>
          <w:tcPr>
            <w:tcW w:w="697" w:type="pct"/>
            <w:tcBorders>
              <w:top w:val="single" w:sz="2" w:space="0" w:color="auto"/>
              <w:left w:val="single" w:sz="2" w:space="0" w:color="auto"/>
              <w:bottom w:val="single" w:sz="2" w:space="0" w:color="auto"/>
              <w:right w:val="single" w:sz="2" w:space="0" w:color="auto"/>
            </w:tcBorders>
            <w:noWrap/>
            <w:hideMark/>
          </w:tcPr>
          <w:p w:rsidR="00A44737" w:rsidRPr="00C65119" w:rsidRDefault="00A44737" w:rsidP="00C65119">
            <w:pPr>
              <w:pStyle w:val="Tabletext"/>
            </w:pPr>
            <w:r w:rsidRPr="00C65119">
              <w:t>2012-07-23</w:t>
            </w:r>
          </w:p>
        </w:tc>
        <w:tc>
          <w:tcPr>
            <w:tcW w:w="1204" w:type="pct"/>
            <w:tcBorders>
              <w:top w:val="single" w:sz="2" w:space="0" w:color="auto"/>
              <w:left w:val="single" w:sz="2" w:space="0" w:color="auto"/>
              <w:bottom w:val="single" w:sz="2" w:space="0" w:color="auto"/>
              <w:right w:val="single" w:sz="2" w:space="0" w:color="auto"/>
            </w:tcBorders>
            <w:hideMark/>
          </w:tcPr>
          <w:p w:rsidR="00A44737" w:rsidRPr="005D275B" w:rsidRDefault="005F357A" w:rsidP="005D275B">
            <w:pPr>
              <w:pStyle w:val="Tabletext"/>
            </w:pPr>
            <w:hyperlink r:id="rId108" w:history="1">
              <w:r w:rsidR="00A44737" w:rsidRPr="005D275B">
                <w:rPr>
                  <w:rStyle w:val="Hyperlink"/>
                </w:rPr>
                <w:t>Eritrea</w:t>
              </w:r>
            </w:hyperlink>
          </w:p>
        </w:tc>
        <w:tc>
          <w:tcPr>
            <w:tcW w:w="1797" w:type="pct"/>
            <w:tcBorders>
              <w:top w:val="single" w:sz="2" w:space="0" w:color="auto"/>
              <w:left w:val="single" w:sz="2" w:space="0" w:color="auto"/>
              <w:bottom w:val="single" w:sz="2" w:space="0" w:color="auto"/>
              <w:right w:val="single" w:sz="2" w:space="0" w:color="auto"/>
            </w:tcBorders>
            <w:hideMark/>
          </w:tcPr>
          <w:p w:rsidR="00A44737" w:rsidRPr="00250D23" w:rsidRDefault="00A44737" w:rsidP="00C65119">
            <w:pPr>
              <w:pStyle w:val="Tabletext"/>
              <w:rPr>
                <w:lang w:val="en-US"/>
              </w:rPr>
            </w:pPr>
            <w:r w:rsidRPr="00250D23">
              <w:rPr>
                <w:lang w:val="en-US"/>
              </w:rPr>
              <w:t>Eritrea's Input for the Work of Resolution 9</w:t>
            </w:r>
          </w:p>
        </w:tc>
        <w:tc>
          <w:tcPr>
            <w:tcW w:w="726" w:type="pct"/>
            <w:tcBorders>
              <w:top w:val="single" w:sz="2" w:space="0" w:color="auto"/>
              <w:left w:val="single" w:sz="2" w:space="0" w:color="auto"/>
              <w:bottom w:val="single" w:sz="2" w:space="0" w:color="auto"/>
              <w:right w:val="single" w:sz="2" w:space="0" w:color="auto"/>
            </w:tcBorders>
            <w:hideMark/>
          </w:tcPr>
          <w:p w:rsidR="00A44737" w:rsidRPr="00C65119" w:rsidRDefault="00A44737" w:rsidP="00C65119">
            <w:pPr>
              <w:pStyle w:val="Tabletext"/>
            </w:pPr>
            <w:r w:rsidRPr="00C65119">
              <w:t>RES.9</w:t>
            </w:r>
          </w:p>
        </w:tc>
      </w:tr>
      <w:tr w:rsidR="00A44737" w:rsidRPr="00C65119" w:rsidTr="00AC1264">
        <w:trPr>
          <w:jc w:val="center"/>
        </w:trPr>
        <w:tc>
          <w:tcPr>
            <w:tcW w:w="576" w:type="pct"/>
            <w:tcBorders>
              <w:top w:val="single" w:sz="2" w:space="0" w:color="auto"/>
              <w:left w:val="single" w:sz="2" w:space="0" w:color="auto"/>
              <w:bottom w:val="single" w:sz="2" w:space="0" w:color="auto"/>
              <w:right w:val="single" w:sz="2" w:space="0" w:color="auto"/>
            </w:tcBorders>
            <w:shd w:val="clear" w:color="auto" w:fill="E8F8FD"/>
            <w:hideMark/>
          </w:tcPr>
          <w:p w:rsidR="00A44737" w:rsidRPr="00C65119" w:rsidRDefault="00A44737" w:rsidP="00C65119">
            <w:pPr>
              <w:pStyle w:val="Tabletext"/>
            </w:pPr>
            <w:r w:rsidRPr="00C65119">
              <w:t>C 11</w:t>
            </w:r>
          </w:p>
        </w:tc>
        <w:tc>
          <w:tcPr>
            <w:tcW w:w="697" w:type="pct"/>
            <w:tcBorders>
              <w:top w:val="single" w:sz="2" w:space="0" w:color="auto"/>
              <w:left w:val="single" w:sz="2" w:space="0" w:color="auto"/>
              <w:bottom w:val="single" w:sz="2" w:space="0" w:color="auto"/>
              <w:right w:val="single" w:sz="2" w:space="0" w:color="auto"/>
            </w:tcBorders>
            <w:shd w:val="clear" w:color="auto" w:fill="E8F8FD"/>
            <w:noWrap/>
            <w:hideMark/>
          </w:tcPr>
          <w:p w:rsidR="00A44737" w:rsidRPr="00C65119" w:rsidRDefault="00A44737" w:rsidP="00C65119">
            <w:pPr>
              <w:pStyle w:val="Tabletext"/>
            </w:pPr>
            <w:r w:rsidRPr="00C65119">
              <w:t>2012-08-08</w:t>
            </w:r>
          </w:p>
        </w:tc>
        <w:tc>
          <w:tcPr>
            <w:tcW w:w="1204" w:type="pct"/>
            <w:tcBorders>
              <w:top w:val="single" w:sz="2" w:space="0" w:color="auto"/>
              <w:left w:val="single" w:sz="2" w:space="0" w:color="auto"/>
              <w:bottom w:val="single" w:sz="2" w:space="0" w:color="auto"/>
              <w:right w:val="single" w:sz="2" w:space="0" w:color="auto"/>
            </w:tcBorders>
            <w:shd w:val="clear" w:color="auto" w:fill="E8F8FD"/>
            <w:hideMark/>
          </w:tcPr>
          <w:p w:rsidR="00A44737" w:rsidRPr="005D275B" w:rsidRDefault="005F357A" w:rsidP="005D275B">
            <w:pPr>
              <w:pStyle w:val="Tabletext"/>
              <w:rPr>
                <w:lang w:val="en-US"/>
              </w:rPr>
            </w:pPr>
            <w:hyperlink r:id="rId109" w:history="1">
              <w:r w:rsidR="00A44737" w:rsidRPr="005D275B">
                <w:rPr>
                  <w:rStyle w:val="Hyperlink"/>
                  <w:lang w:val="en-US"/>
                </w:rPr>
                <w:t>Chairman, ITU-D Study Group 2</w:t>
              </w:r>
            </w:hyperlink>
          </w:p>
        </w:tc>
        <w:tc>
          <w:tcPr>
            <w:tcW w:w="1797" w:type="pct"/>
            <w:tcBorders>
              <w:top w:val="single" w:sz="2" w:space="0" w:color="auto"/>
              <w:left w:val="single" w:sz="2" w:space="0" w:color="auto"/>
              <w:bottom w:val="single" w:sz="2" w:space="0" w:color="auto"/>
              <w:right w:val="single" w:sz="2" w:space="0" w:color="auto"/>
            </w:tcBorders>
            <w:shd w:val="clear" w:color="auto" w:fill="E8F8FD"/>
            <w:hideMark/>
          </w:tcPr>
          <w:p w:rsidR="00A44737" w:rsidRPr="00C65119" w:rsidRDefault="00A44737" w:rsidP="00C65119">
            <w:pPr>
              <w:pStyle w:val="Tabletext"/>
            </w:pPr>
            <w:r w:rsidRPr="00C65119">
              <w:t>Draft interim report  </w:t>
            </w:r>
          </w:p>
        </w:tc>
        <w:tc>
          <w:tcPr>
            <w:tcW w:w="726" w:type="pct"/>
            <w:tcBorders>
              <w:top w:val="single" w:sz="2" w:space="0" w:color="auto"/>
              <w:left w:val="single" w:sz="2" w:space="0" w:color="auto"/>
              <w:bottom w:val="single" w:sz="2" w:space="0" w:color="auto"/>
              <w:right w:val="single" w:sz="2" w:space="0" w:color="auto"/>
            </w:tcBorders>
            <w:shd w:val="clear" w:color="auto" w:fill="E8F8FD"/>
            <w:hideMark/>
          </w:tcPr>
          <w:p w:rsidR="00A44737" w:rsidRPr="00C65119" w:rsidRDefault="00A44737" w:rsidP="00C65119">
            <w:pPr>
              <w:pStyle w:val="Tabletext"/>
            </w:pPr>
            <w:r w:rsidRPr="00C65119">
              <w:t>RES.9</w:t>
            </w:r>
          </w:p>
        </w:tc>
      </w:tr>
      <w:tr w:rsidR="00A44737" w:rsidRPr="00C65119" w:rsidTr="00AC1264">
        <w:trPr>
          <w:jc w:val="center"/>
        </w:trPr>
        <w:tc>
          <w:tcPr>
            <w:tcW w:w="576" w:type="pct"/>
            <w:tcBorders>
              <w:top w:val="single" w:sz="2" w:space="0" w:color="auto"/>
              <w:left w:val="single" w:sz="2" w:space="0" w:color="auto"/>
              <w:bottom w:val="single" w:sz="2" w:space="0" w:color="auto"/>
              <w:right w:val="single" w:sz="2" w:space="0" w:color="auto"/>
            </w:tcBorders>
            <w:hideMark/>
          </w:tcPr>
          <w:p w:rsidR="00A44737" w:rsidRPr="00C65119" w:rsidRDefault="00A44737" w:rsidP="00C65119">
            <w:pPr>
              <w:pStyle w:val="Tabletext"/>
            </w:pPr>
            <w:r w:rsidRPr="00C65119">
              <w:t>C 12</w:t>
            </w:r>
          </w:p>
        </w:tc>
        <w:tc>
          <w:tcPr>
            <w:tcW w:w="697" w:type="pct"/>
            <w:tcBorders>
              <w:top w:val="single" w:sz="2" w:space="0" w:color="auto"/>
              <w:left w:val="single" w:sz="2" w:space="0" w:color="auto"/>
              <w:bottom w:val="single" w:sz="2" w:space="0" w:color="auto"/>
              <w:right w:val="single" w:sz="2" w:space="0" w:color="auto"/>
            </w:tcBorders>
            <w:noWrap/>
            <w:hideMark/>
          </w:tcPr>
          <w:p w:rsidR="00A44737" w:rsidRPr="00C65119" w:rsidRDefault="00A44737" w:rsidP="00C65119">
            <w:pPr>
              <w:pStyle w:val="Tabletext"/>
            </w:pPr>
            <w:r w:rsidRPr="00C65119">
              <w:t>2012-08-17</w:t>
            </w:r>
          </w:p>
        </w:tc>
        <w:tc>
          <w:tcPr>
            <w:tcW w:w="1204" w:type="pct"/>
            <w:tcBorders>
              <w:top w:val="single" w:sz="2" w:space="0" w:color="auto"/>
              <w:left w:val="single" w:sz="2" w:space="0" w:color="auto"/>
              <w:bottom w:val="single" w:sz="2" w:space="0" w:color="auto"/>
              <w:right w:val="single" w:sz="2" w:space="0" w:color="auto"/>
            </w:tcBorders>
            <w:hideMark/>
          </w:tcPr>
          <w:p w:rsidR="00A44737" w:rsidRPr="005D275B" w:rsidRDefault="00A44737" w:rsidP="005D275B">
            <w:pPr>
              <w:pStyle w:val="Tabletext"/>
              <w:rPr>
                <w:lang w:val="fr-CH"/>
              </w:rPr>
            </w:pPr>
            <w:r w:rsidRPr="005D275B">
              <w:t>Hungary</w:t>
            </w:r>
          </w:p>
        </w:tc>
        <w:tc>
          <w:tcPr>
            <w:tcW w:w="1797" w:type="pct"/>
            <w:tcBorders>
              <w:top w:val="single" w:sz="2" w:space="0" w:color="auto"/>
              <w:left w:val="single" w:sz="2" w:space="0" w:color="auto"/>
              <w:bottom w:val="single" w:sz="2" w:space="0" w:color="auto"/>
              <w:right w:val="single" w:sz="2" w:space="0" w:color="auto"/>
            </w:tcBorders>
            <w:hideMark/>
          </w:tcPr>
          <w:p w:rsidR="00A44737" w:rsidRPr="00250D23" w:rsidRDefault="00A44737" w:rsidP="00C65119">
            <w:pPr>
              <w:pStyle w:val="Tabletext"/>
              <w:rPr>
                <w:lang w:val="en-US"/>
              </w:rPr>
            </w:pPr>
            <w:r w:rsidRPr="00250D23">
              <w:rPr>
                <w:lang w:val="en-US"/>
              </w:rPr>
              <w:t>Conception of the STIR Frequency Management IT System</w:t>
            </w:r>
          </w:p>
        </w:tc>
        <w:tc>
          <w:tcPr>
            <w:tcW w:w="726" w:type="pct"/>
            <w:tcBorders>
              <w:top w:val="single" w:sz="2" w:space="0" w:color="auto"/>
              <w:left w:val="single" w:sz="2" w:space="0" w:color="auto"/>
              <w:bottom w:val="single" w:sz="2" w:space="0" w:color="auto"/>
              <w:right w:val="single" w:sz="2" w:space="0" w:color="auto"/>
            </w:tcBorders>
            <w:hideMark/>
          </w:tcPr>
          <w:p w:rsidR="00A44737" w:rsidRPr="00C65119" w:rsidRDefault="00A44737" w:rsidP="00C65119">
            <w:pPr>
              <w:pStyle w:val="Tabletext"/>
            </w:pPr>
            <w:r w:rsidRPr="00C65119">
              <w:t>RES.9</w:t>
            </w:r>
          </w:p>
        </w:tc>
      </w:tr>
      <w:tr w:rsidR="00A44737" w:rsidRPr="00C65119" w:rsidTr="00AC1264">
        <w:trPr>
          <w:jc w:val="center"/>
        </w:trPr>
        <w:tc>
          <w:tcPr>
            <w:tcW w:w="576" w:type="pct"/>
            <w:tcBorders>
              <w:top w:val="single" w:sz="2" w:space="0" w:color="auto"/>
              <w:left w:val="single" w:sz="2" w:space="0" w:color="auto"/>
              <w:bottom w:val="single" w:sz="2" w:space="0" w:color="auto"/>
              <w:right w:val="single" w:sz="2" w:space="0" w:color="auto"/>
            </w:tcBorders>
            <w:shd w:val="clear" w:color="auto" w:fill="E8F8FD"/>
            <w:hideMark/>
          </w:tcPr>
          <w:p w:rsidR="00A44737" w:rsidRPr="00C65119" w:rsidRDefault="00A44737" w:rsidP="00C65119">
            <w:pPr>
              <w:pStyle w:val="Tabletext"/>
            </w:pPr>
            <w:r w:rsidRPr="00C65119">
              <w:t>C 13</w:t>
            </w:r>
          </w:p>
        </w:tc>
        <w:tc>
          <w:tcPr>
            <w:tcW w:w="697" w:type="pct"/>
            <w:tcBorders>
              <w:top w:val="single" w:sz="2" w:space="0" w:color="auto"/>
              <w:left w:val="single" w:sz="2" w:space="0" w:color="auto"/>
              <w:bottom w:val="single" w:sz="2" w:space="0" w:color="auto"/>
              <w:right w:val="single" w:sz="2" w:space="0" w:color="auto"/>
            </w:tcBorders>
            <w:shd w:val="clear" w:color="auto" w:fill="E8F8FD"/>
            <w:noWrap/>
            <w:hideMark/>
          </w:tcPr>
          <w:p w:rsidR="00A44737" w:rsidRPr="00C65119" w:rsidRDefault="00A44737" w:rsidP="00C65119">
            <w:pPr>
              <w:pStyle w:val="Tabletext"/>
            </w:pPr>
            <w:r w:rsidRPr="00C65119">
              <w:t>2012-09-05</w:t>
            </w:r>
          </w:p>
        </w:tc>
        <w:tc>
          <w:tcPr>
            <w:tcW w:w="1204" w:type="pct"/>
            <w:tcBorders>
              <w:top w:val="single" w:sz="2" w:space="0" w:color="auto"/>
              <w:left w:val="single" w:sz="2" w:space="0" w:color="auto"/>
              <w:bottom w:val="single" w:sz="2" w:space="0" w:color="auto"/>
              <w:right w:val="single" w:sz="2" w:space="0" w:color="auto"/>
            </w:tcBorders>
            <w:shd w:val="clear" w:color="auto" w:fill="E8F8FD"/>
            <w:hideMark/>
          </w:tcPr>
          <w:p w:rsidR="00A44737" w:rsidRPr="005D275B" w:rsidRDefault="005F357A" w:rsidP="005D275B">
            <w:pPr>
              <w:pStyle w:val="Tabletext"/>
            </w:pPr>
            <w:hyperlink r:id="rId110" w:history="1">
              <w:r w:rsidR="00A44737" w:rsidRPr="005D275B">
                <w:rPr>
                  <w:rStyle w:val="Hyperlink"/>
                </w:rPr>
                <w:t>Radiocommunication Bureau</w:t>
              </w:r>
            </w:hyperlink>
          </w:p>
        </w:tc>
        <w:tc>
          <w:tcPr>
            <w:tcW w:w="1797" w:type="pct"/>
            <w:tcBorders>
              <w:top w:val="single" w:sz="2" w:space="0" w:color="auto"/>
              <w:left w:val="single" w:sz="2" w:space="0" w:color="auto"/>
              <w:bottom w:val="single" w:sz="2" w:space="0" w:color="auto"/>
              <w:right w:val="single" w:sz="2" w:space="0" w:color="auto"/>
            </w:tcBorders>
            <w:shd w:val="clear" w:color="auto" w:fill="E8F8FD"/>
            <w:hideMark/>
          </w:tcPr>
          <w:p w:rsidR="00A44737" w:rsidRPr="00250D23" w:rsidRDefault="00A44737" w:rsidP="00C65119">
            <w:pPr>
              <w:pStyle w:val="Tabletext"/>
              <w:rPr>
                <w:lang w:val="en-US"/>
              </w:rPr>
            </w:pPr>
            <w:r w:rsidRPr="00250D23">
              <w:rPr>
                <w:lang w:val="en-US"/>
              </w:rPr>
              <w:t>Outcomes of the June 2012 meetings of ITU-R Study Group 1 and Report ITU-R SM.2012</w:t>
            </w:r>
          </w:p>
        </w:tc>
        <w:tc>
          <w:tcPr>
            <w:tcW w:w="726" w:type="pct"/>
            <w:tcBorders>
              <w:top w:val="single" w:sz="2" w:space="0" w:color="auto"/>
              <w:left w:val="single" w:sz="2" w:space="0" w:color="auto"/>
              <w:bottom w:val="single" w:sz="2" w:space="0" w:color="auto"/>
              <w:right w:val="single" w:sz="2" w:space="0" w:color="auto"/>
            </w:tcBorders>
            <w:shd w:val="clear" w:color="auto" w:fill="E8F8FD"/>
            <w:hideMark/>
          </w:tcPr>
          <w:p w:rsidR="00A44737" w:rsidRPr="00C65119" w:rsidRDefault="00A44737" w:rsidP="00C65119">
            <w:pPr>
              <w:pStyle w:val="Tabletext"/>
            </w:pPr>
            <w:r w:rsidRPr="00C65119">
              <w:t>RES.9</w:t>
            </w:r>
          </w:p>
        </w:tc>
      </w:tr>
      <w:tr w:rsidR="00A44737" w:rsidRPr="00C65119" w:rsidTr="00AC1264">
        <w:trPr>
          <w:jc w:val="center"/>
        </w:trPr>
        <w:tc>
          <w:tcPr>
            <w:tcW w:w="576" w:type="pct"/>
            <w:tcBorders>
              <w:top w:val="single" w:sz="2" w:space="0" w:color="auto"/>
              <w:left w:val="single" w:sz="2" w:space="0" w:color="auto"/>
              <w:bottom w:val="single" w:sz="2" w:space="0" w:color="auto"/>
              <w:right w:val="single" w:sz="2" w:space="0" w:color="auto"/>
            </w:tcBorders>
            <w:hideMark/>
          </w:tcPr>
          <w:p w:rsidR="00A44737" w:rsidRPr="00C65119" w:rsidRDefault="00A44737" w:rsidP="00C65119">
            <w:pPr>
              <w:pStyle w:val="Tabletext"/>
            </w:pPr>
            <w:r w:rsidRPr="00C65119">
              <w:t>C 14</w:t>
            </w:r>
          </w:p>
        </w:tc>
        <w:tc>
          <w:tcPr>
            <w:tcW w:w="697" w:type="pct"/>
            <w:tcBorders>
              <w:top w:val="single" w:sz="2" w:space="0" w:color="auto"/>
              <w:left w:val="single" w:sz="2" w:space="0" w:color="auto"/>
              <w:bottom w:val="single" w:sz="2" w:space="0" w:color="auto"/>
              <w:right w:val="single" w:sz="2" w:space="0" w:color="auto"/>
            </w:tcBorders>
            <w:noWrap/>
            <w:hideMark/>
          </w:tcPr>
          <w:p w:rsidR="00A44737" w:rsidRPr="00C65119" w:rsidRDefault="00A44737" w:rsidP="00C65119">
            <w:pPr>
              <w:pStyle w:val="Tabletext"/>
            </w:pPr>
            <w:r w:rsidRPr="00C65119">
              <w:t>2012-09-17</w:t>
            </w:r>
          </w:p>
        </w:tc>
        <w:tc>
          <w:tcPr>
            <w:tcW w:w="1204" w:type="pct"/>
            <w:tcBorders>
              <w:top w:val="single" w:sz="2" w:space="0" w:color="auto"/>
              <w:left w:val="single" w:sz="2" w:space="0" w:color="auto"/>
              <w:bottom w:val="single" w:sz="2" w:space="0" w:color="auto"/>
              <w:right w:val="single" w:sz="2" w:space="0" w:color="auto"/>
            </w:tcBorders>
            <w:hideMark/>
          </w:tcPr>
          <w:p w:rsidR="00A44737" w:rsidRPr="005D275B" w:rsidRDefault="005F357A" w:rsidP="005D275B">
            <w:pPr>
              <w:pStyle w:val="Tabletext"/>
            </w:pPr>
            <w:hyperlink r:id="rId111" w:history="1">
              <w:r w:rsidR="00A44737" w:rsidRPr="005D275B">
                <w:rPr>
                  <w:rStyle w:val="Hyperlink"/>
                </w:rPr>
                <w:t>Radiocommunication Bureau</w:t>
              </w:r>
            </w:hyperlink>
          </w:p>
        </w:tc>
        <w:tc>
          <w:tcPr>
            <w:tcW w:w="1797" w:type="pct"/>
            <w:tcBorders>
              <w:top w:val="single" w:sz="2" w:space="0" w:color="auto"/>
              <w:left w:val="single" w:sz="2" w:space="0" w:color="auto"/>
              <w:bottom w:val="single" w:sz="2" w:space="0" w:color="auto"/>
              <w:right w:val="single" w:sz="2" w:space="0" w:color="auto"/>
            </w:tcBorders>
            <w:hideMark/>
          </w:tcPr>
          <w:p w:rsidR="00A44737" w:rsidRPr="00250D23" w:rsidRDefault="00A44737" w:rsidP="00C65119">
            <w:pPr>
              <w:pStyle w:val="Tabletext"/>
              <w:rPr>
                <w:lang w:val="en-US"/>
              </w:rPr>
            </w:pPr>
            <w:r w:rsidRPr="00250D23">
              <w:rPr>
                <w:lang w:val="en-US"/>
              </w:rPr>
              <w:t>Presentation on WRC-12 outcomes and preparation for RA-15 &amp; WRC-15  </w:t>
            </w:r>
          </w:p>
        </w:tc>
        <w:tc>
          <w:tcPr>
            <w:tcW w:w="726" w:type="pct"/>
            <w:tcBorders>
              <w:top w:val="single" w:sz="2" w:space="0" w:color="auto"/>
              <w:left w:val="single" w:sz="2" w:space="0" w:color="auto"/>
              <w:bottom w:val="single" w:sz="2" w:space="0" w:color="auto"/>
              <w:right w:val="single" w:sz="2" w:space="0" w:color="auto"/>
            </w:tcBorders>
            <w:hideMark/>
          </w:tcPr>
          <w:p w:rsidR="00A44737" w:rsidRPr="00C65119" w:rsidRDefault="00A44737" w:rsidP="00C65119">
            <w:pPr>
              <w:pStyle w:val="Tabletext"/>
            </w:pPr>
            <w:r w:rsidRPr="00C65119">
              <w:t>RES.9</w:t>
            </w:r>
          </w:p>
        </w:tc>
      </w:tr>
    </w:tbl>
    <w:p w:rsidR="00AC1264" w:rsidRDefault="00AC1264" w:rsidP="00AC1264">
      <w:pPr>
        <w:spacing w:before="0"/>
      </w:pPr>
    </w:p>
    <w:p w:rsidR="00AC1264" w:rsidRDefault="00AC1264">
      <w:pPr>
        <w:spacing w:before="0"/>
        <w:jc w:val="left"/>
        <w:rPr>
          <w:rFonts w:eastAsia="Times New Roman" w:cs="Helvetica"/>
          <w:b/>
          <w:bCs/>
          <w:color w:val="005173"/>
          <w:sz w:val="24"/>
          <w:szCs w:val="32"/>
          <w:lang w:val="en-US"/>
        </w:rPr>
      </w:pPr>
      <w:r>
        <w:br w:type="page"/>
      </w:r>
    </w:p>
    <w:p w:rsidR="00E326D4" w:rsidRDefault="00E326D4" w:rsidP="00E326D4">
      <w:pPr>
        <w:pStyle w:val="Heading2"/>
      </w:pPr>
      <w:bookmarkStart w:id="74" w:name="_Toc380408343"/>
      <w:r w:rsidRPr="00E326D4">
        <w:lastRenderedPageBreak/>
        <w:t>4.3</w:t>
      </w:r>
      <w:r>
        <w:tab/>
      </w:r>
      <w:r w:rsidRPr="00E326D4">
        <w:t>Meeting Report</w:t>
      </w:r>
      <w:bookmarkEnd w:id="74"/>
    </w:p>
    <w:p w:rsidR="00E326D4" w:rsidRPr="00C65119" w:rsidRDefault="00E326D4" w:rsidP="00E326D4">
      <w:pPr>
        <w:rPr>
          <w:rFonts w:cs="Times New Roman Bold"/>
          <w:b/>
          <w:bCs/>
          <w:sz w:val="6"/>
          <w:szCs w:val="21"/>
        </w:rPr>
      </w:pP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105"/>
        <w:gridCol w:w="1234"/>
        <w:gridCol w:w="2157"/>
        <w:gridCol w:w="3362"/>
        <w:gridCol w:w="1214"/>
      </w:tblGrid>
      <w:tr w:rsidR="00E326D4" w:rsidRPr="00C65119" w:rsidTr="00AC1264">
        <w:trPr>
          <w:tblHeader/>
          <w:jc w:val="center"/>
        </w:trPr>
        <w:tc>
          <w:tcPr>
            <w:tcW w:w="609"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C65119" w:rsidRDefault="00E326D4" w:rsidP="00C65119">
            <w:pPr>
              <w:pStyle w:val="Tablehead"/>
            </w:pPr>
            <w:r w:rsidRPr="00C65119">
              <w:t>Web</w:t>
            </w:r>
          </w:p>
        </w:tc>
        <w:tc>
          <w:tcPr>
            <w:tcW w:w="680"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C65119" w:rsidRDefault="00E326D4" w:rsidP="00C65119">
            <w:pPr>
              <w:pStyle w:val="Tablehead"/>
            </w:pPr>
            <w:r w:rsidRPr="00C65119">
              <w:t>Received</w:t>
            </w:r>
          </w:p>
        </w:tc>
        <w:tc>
          <w:tcPr>
            <w:tcW w:w="1189"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C65119" w:rsidRDefault="00E326D4" w:rsidP="00C65119">
            <w:pPr>
              <w:pStyle w:val="Tablehead"/>
            </w:pPr>
            <w:r w:rsidRPr="00C65119">
              <w:t>Source</w:t>
            </w:r>
          </w:p>
        </w:tc>
        <w:tc>
          <w:tcPr>
            <w:tcW w:w="1853"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C65119" w:rsidRDefault="00E326D4" w:rsidP="00C65119">
            <w:pPr>
              <w:pStyle w:val="Tablehead"/>
            </w:pPr>
            <w:r w:rsidRPr="00C65119">
              <w:t>Title</w:t>
            </w:r>
          </w:p>
        </w:tc>
        <w:tc>
          <w:tcPr>
            <w:tcW w:w="669"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C65119" w:rsidRDefault="00E326D4" w:rsidP="00C65119">
            <w:pPr>
              <w:pStyle w:val="Tablehead"/>
            </w:pPr>
            <w:r w:rsidRPr="00C65119">
              <w:t>Questions</w:t>
            </w:r>
          </w:p>
        </w:tc>
      </w:tr>
      <w:tr w:rsidR="00E326D4" w:rsidRPr="00C65119" w:rsidTr="00AC1264">
        <w:trPr>
          <w:jc w:val="center"/>
        </w:trPr>
        <w:tc>
          <w:tcPr>
            <w:tcW w:w="609"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677508" w:rsidRDefault="005F357A" w:rsidP="00677508">
            <w:pPr>
              <w:pStyle w:val="Tabletext"/>
            </w:pPr>
            <w:hyperlink r:id="rId112" w:history="1">
              <w:r w:rsidR="00677508" w:rsidRPr="00DE4A3F">
                <w:rPr>
                  <w:rStyle w:val="Hyperlink"/>
                  <w:lang w:val="en-US"/>
                </w:rPr>
                <w:t>R</w:t>
              </w:r>
              <w:r w:rsidR="00677508">
                <w:rPr>
                  <w:rStyle w:val="Hyperlink"/>
                  <w:lang w:val="en-US"/>
                </w:rPr>
                <w:t>3</w:t>
              </w:r>
            </w:hyperlink>
          </w:p>
        </w:tc>
        <w:tc>
          <w:tcPr>
            <w:tcW w:w="680" w:type="pct"/>
            <w:tcBorders>
              <w:top w:val="single" w:sz="2" w:space="0" w:color="auto"/>
              <w:left w:val="single" w:sz="2" w:space="0" w:color="auto"/>
              <w:bottom w:val="single" w:sz="2" w:space="0" w:color="auto"/>
              <w:right w:val="single" w:sz="2" w:space="0" w:color="auto"/>
            </w:tcBorders>
            <w:shd w:val="clear" w:color="auto" w:fill="E8F8FD"/>
            <w:noWrap/>
            <w:hideMark/>
          </w:tcPr>
          <w:p w:rsidR="00E326D4" w:rsidRPr="00C65119" w:rsidRDefault="00E326D4" w:rsidP="00C65119">
            <w:pPr>
              <w:pStyle w:val="Tabletext"/>
            </w:pPr>
            <w:r w:rsidRPr="00C65119">
              <w:t>2012-09-21</w:t>
            </w:r>
          </w:p>
        </w:tc>
        <w:tc>
          <w:tcPr>
            <w:tcW w:w="1189"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250D23" w:rsidRDefault="005F357A" w:rsidP="00C65119">
            <w:pPr>
              <w:pStyle w:val="Tabletext"/>
              <w:rPr>
                <w:lang w:val="en-US"/>
              </w:rPr>
            </w:pPr>
            <w:hyperlink r:id="rId113" w:history="1">
              <w:r w:rsidR="00677508" w:rsidRPr="00677508">
                <w:rPr>
                  <w:rStyle w:val="Hyperlink"/>
                  <w:lang w:val="en-US"/>
                </w:rPr>
                <w:t>Chairman, ITU-D Study Group 2</w:t>
              </w:r>
            </w:hyperlink>
          </w:p>
        </w:tc>
        <w:tc>
          <w:tcPr>
            <w:tcW w:w="1853"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250D23" w:rsidRDefault="00E326D4" w:rsidP="00C65119">
            <w:pPr>
              <w:pStyle w:val="Tabletext"/>
              <w:rPr>
                <w:lang w:val="en-US"/>
              </w:rPr>
            </w:pPr>
            <w:r w:rsidRPr="00250D23">
              <w:rPr>
                <w:lang w:val="en-US"/>
              </w:rPr>
              <w:t>Report of the Meeting of the Joint Group on Resolution 9 (Rev. Hyderabad, 2010), Friday 21 September 2012    </w:t>
            </w:r>
          </w:p>
        </w:tc>
        <w:tc>
          <w:tcPr>
            <w:tcW w:w="669"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C65119" w:rsidRDefault="00E326D4" w:rsidP="00C65119">
            <w:pPr>
              <w:pStyle w:val="Tabletext"/>
            </w:pPr>
            <w:r w:rsidRPr="00C65119">
              <w:t>RES. 9</w:t>
            </w:r>
          </w:p>
        </w:tc>
      </w:tr>
    </w:tbl>
    <w:p w:rsidR="00C65119" w:rsidRDefault="00C65119" w:rsidP="00C65119"/>
    <w:p w:rsidR="00E326D4" w:rsidRPr="00E326D4" w:rsidRDefault="00E326D4" w:rsidP="00E326D4">
      <w:pPr>
        <w:pStyle w:val="Heading1"/>
      </w:pPr>
      <w:bookmarkStart w:id="75" w:name="_Toc380408344"/>
      <w:r w:rsidRPr="00E326D4">
        <w:t>V</w:t>
      </w:r>
      <w:r>
        <w:tab/>
      </w:r>
      <w:r w:rsidRPr="00E326D4">
        <w:t>Meeting of the Joint Group on Resolution 9 (6 June 2013)</w:t>
      </w:r>
      <w:bookmarkEnd w:id="75"/>
    </w:p>
    <w:p w:rsidR="00E326D4" w:rsidRDefault="00E326D4" w:rsidP="00E326D4">
      <w:pPr>
        <w:pStyle w:val="Heading2"/>
      </w:pPr>
      <w:bookmarkStart w:id="76" w:name="_Toc380408345"/>
      <w:r w:rsidRPr="00E326D4">
        <w:t>5.1</w:t>
      </w:r>
      <w:r>
        <w:tab/>
      </w:r>
      <w:r w:rsidRPr="00E326D4">
        <w:t>Agenda</w:t>
      </w:r>
      <w:bookmarkEnd w:id="76"/>
      <w:r w:rsidRPr="00E326D4">
        <w:t xml:space="preserve"> </w:t>
      </w:r>
    </w:p>
    <w:p w:rsidR="00E326D4" w:rsidRPr="00E326D4" w:rsidRDefault="00E326D4" w:rsidP="00E326D4">
      <w:pPr>
        <w:rPr>
          <w:lang w:val="en-US"/>
        </w:rPr>
      </w:pP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134"/>
        <w:gridCol w:w="1216"/>
        <w:gridCol w:w="2210"/>
        <w:gridCol w:w="3177"/>
        <w:gridCol w:w="1335"/>
      </w:tblGrid>
      <w:tr w:rsidR="00E326D4" w:rsidRPr="00E326D4" w:rsidTr="005A6BF7">
        <w:trPr>
          <w:tblHeader/>
          <w:jc w:val="center"/>
        </w:trPr>
        <w:tc>
          <w:tcPr>
            <w:tcW w:w="625"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795B4E">
            <w:pPr>
              <w:pStyle w:val="Tablehead"/>
            </w:pPr>
            <w:r w:rsidRPr="00E326D4">
              <w:t>Web</w:t>
            </w:r>
          </w:p>
        </w:tc>
        <w:tc>
          <w:tcPr>
            <w:tcW w:w="670"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795B4E">
            <w:pPr>
              <w:pStyle w:val="Tablehead"/>
            </w:pPr>
            <w:r w:rsidRPr="00E326D4">
              <w:t>Received</w:t>
            </w:r>
          </w:p>
        </w:tc>
        <w:tc>
          <w:tcPr>
            <w:tcW w:w="1218"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795B4E">
            <w:pPr>
              <w:pStyle w:val="Tablehead"/>
            </w:pPr>
            <w:r w:rsidRPr="00E326D4">
              <w:t>Source</w:t>
            </w:r>
          </w:p>
        </w:tc>
        <w:tc>
          <w:tcPr>
            <w:tcW w:w="1751"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795B4E">
            <w:pPr>
              <w:pStyle w:val="Tablehead"/>
            </w:pPr>
            <w:r w:rsidRPr="00E326D4">
              <w:t>Title</w:t>
            </w:r>
          </w:p>
        </w:tc>
        <w:tc>
          <w:tcPr>
            <w:tcW w:w="736"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795B4E">
            <w:pPr>
              <w:pStyle w:val="Tablehead"/>
            </w:pPr>
            <w:r w:rsidRPr="00E326D4">
              <w:t>Questions</w:t>
            </w:r>
          </w:p>
        </w:tc>
      </w:tr>
      <w:tr w:rsidR="00E326D4" w:rsidRPr="005A6BF7" w:rsidTr="005A6BF7">
        <w:trPr>
          <w:jc w:val="center"/>
        </w:trPr>
        <w:tc>
          <w:tcPr>
            <w:tcW w:w="625"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5A6BF7" w:rsidRDefault="005F357A" w:rsidP="005A6BF7">
            <w:pPr>
              <w:pStyle w:val="Tabletext"/>
            </w:pPr>
            <w:hyperlink r:id="rId114" w:history="1">
              <w:r w:rsidR="00677508" w:rsidRPr="003C6750">
                <w:rPr>
                  <w:rStyle w:val="Hyperlink"/>
                  <w:lang w:val="en-US"/>
                </w:rPr>
                <w:t xml:space="preserve">OJ 2 </w:t>
              </w:r>
            </w:hyperlink>
            <w:r w:rsidR="00677508" w:rsidRPr="003C6750">
              <w:rPr>
                <w:u w:val="single"/>
              </w:rPr>
              <w:t>Rev 1</w:t>
            </w:r>
          </w:p>
        </w:tc>
        <w:tc>
          <w:tcPr>
            <w:tcW w:w="670" w:type="pct"/>
            <w:tcBorders>
              <w:top w:val="single" w:sz="2" w:space="0" w:color="auto"/>
              <w:left w:val="single" w:sz="2" w:space="0" w:color="auto"/>
              <w:bottom w:val="single" w:sz="2" w:space="0" w:color="auto"/>
              <w:right w:val="single" w:sz="2" w:space="0" w:color="auto"/>
            </w:tcBorders>
            <w:shd w:val="clear" w:color="auto" w:fill="E8F8FD"/>
            <w:noWrap/>
            <w:hideMark/>
          </w:tcPr>
          <w:p w:rsidR="00E326D4" w:rsidRPr="005A6BF7" w:rsidRDefault="00E326D4" w:rsidP="005A6BF7">
            <w:pPr>
              <w:pStyle w:val="Tabletext"/>
            </w:pPr>
            <w:r w:rsidRPr="005A6BF7">
              <w:t>2013-05-23</w:t>
            </w:r>
          </w:p>
        </w:tc>
        <w:tc>
          <w:tcPr>
            <w:tcW w:w="1218"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250D23" w:rsidRDefault="005F357A" w:rsidP="005A6BF7">
            <w:pPr>
              <w:pStyle w:val="Tabletext"/>
              <w:rPr>
                <w:lang w:val="en-US"/>
              </w:rPr>
            </w:pPr>
            <w:hyperlink r:id="rId115" w:history="1">
              <w:r w:rsidR="00677508" w:rsidRPr="00677508">
                <w:rPr>
                  <w:rStyle w:val="Hyperlink"/>
                  <w:lang w:val="en-US"/>
                </w:rPr>
                <w:t>ITU-D Co-Chairman, Joint Group on Resolution 9</w:t>
              </w:r>
            </w:hyperlink>
          </w:p>
        </w:tc>
        <w:tc>
          <w:tcPr>
            <w:tcW w:w="1751"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250D23" w:rsidRDefault="00E326D4" w:rsidP="005A6BF7">
            <w:pPr>
              <w:pStyle w:val="Tabletext"/>
              <w:rPr>
                <w:lang w:val="en-US"/>
              </w:rPr>
            </w:pPr>
            <w:r w:rsidRPr="00250D23">
              <w:rPr>
                <w:lang w:val="en-US"/>
              </w:rPr>
              <w:t>Draft Agenda for the ITU-D/ITU-R Joint Group Meeting on Resolution 9 (Rev. Hyderabad, 2010) Geneva,  </w:t>
            </w:r>
          </w:p>
        </w:tc>
        <w:tc>
          <w:tcPr>
            <w:tcW w:w="736"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5A6BF7" w:rsidRDefault="00E326D4" w:rsidP="005A6BF7">
            <w:pPr>
              <w:pStyle w:val="Tabletext"/>
            </w:pPr>
            <w:r w:rsidRPr="005A6BF7">
              <w:t>RES9</w:t>
            </w:r>
          </w:p>
        </w:tc>
      </w:tr>
    </w:tbl>
    <w:p w:rsidR="005A6BF7" w:rsidRDefault="005A6BF7" w:rsidP="005A6BF7">
      <w:pPr>
        <w:spacing w:before="0"/>
      </w:pPr>
    </w:p>
    <w:p w:rsidR="00E326D4" w:rsidRDefault="00E326D4" w:rsidP="005A6BF7">
      <w:pPr>
        <w:pStyle w:val="Heading2"/>
      </w:pPr>
      <w:bookmarkStart w:id="77" w:name="_Toc380408346"/>
      <w:r w:rsidRPr="00E326D4">
        <w:t>5.2</w:t>
      </w:r>
      <w:r>
        <w:tab/>
      </w:r>
      <w:r w:rsidRPr="00E326D4">
        <w:t>Contributions</w:t>
      </w:r>
      <w:bookmarkEnd w:id="77"/>
    </w:p>
    <w:p w:rsidR="00E326D4" w:rsidRPr="00AC1264" w:rsidRDefault="00E326D4" w:rsidP="00E326D4">
      <w:pPr>
        <w:rPr>
          <w:sz w:val="6"/>
          <w:lang w:val="en-US"/>
        </w:rPr>
      </w:pP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190"/>
        <w:gridCol w:w="1288"/>
        <w:gridCol w:w="2048"/>
        <w:gridCol w:w="2967"/>
        <w:gridCol w:w="1579"/>
      </w:tblGrid>
      <w:tr w:rsidR="00E326D4" w:rsidRPr="00E326D4" w:rsidTr="00AC1264">
        <w:trPr>
          <w:tblHeader/>
          <w:jc w:val="center"/>
        </w:trPr>
        <w:tc>
          <w:tcPr>
            <w:tcW w:w="656"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5A6BF7" w:rsidRDefault="00E326D4" w:rsidP="005A6BF7">
            <w:pPr>
              <w:pStyle w:val="Tablehead"/>
            </w:pPr>
            <w:r w:rsidRPr="005A6BF7">
              <w:t>Web</w:t>
            </w:r>
          </w:p>
        </w:tc>
        <w:tc>
          <w:tcPr>
            <w:tcW w:w="710"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5A6BF7">
            <w:pPr>
              <w:pStyle w:val="Tablehead"/>
            </w:pPr>
            <w:r w:rsidRPr="00E326D4">
              <w:t>Received</w:t>
            </w:r>
          </w:p>
        </w:tc>
        <w:tc>
          <w:tcPr>
            <w:tcW w:w="1129"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5A6BF7">
            <w:pPr>
              <w:pStyle w:val="Tablehead"/>
            </w:pPr>
            <w:r w:rsidRPr="00E326D4">
              <w:t>Source</w:t>
            </w:r>
          </w:p>
        </w:tc>
        <w:tc>
          <w:tcPr>
            <w:tcW w:w="1635"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5A6BF7">
            <w:pPr>
              <w:pStyle w:val="Tablehead"/>
            </w:pPr>
            <w:r w:rsidRPr="00E326D4">
              <w:t>Title</w:t>
            </w:r>
          </w:p>
        </w:tc>
        <w:tc>
          <w:tcPr>
            <w:tcW w:w="870"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5A6BF7">
            <w:pPr>
              <w:pStyle w:val="Tablehead"/>
            </w:pPr>
            <w:r w:rsidRPr="00E326D4">
              <w:t>Questions</w:t>
            </w:r>
          </w:p>
        </w:tc>
      </w:tr>
      <w:tr w:rsidR="00E326D4" w:rsidRPr="00E326D4" w:rsidTr="00AC1264">
        <w:trPr>
          <w:jc w:val="center"/>
        </w:trPr>
        <w:tc>
          <w:tcPr>
            <w:tcW w:w="656"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5A6BF7" w:rsidRDefault="005F357A" w:rsidP="005A6BF7">
            <w:pPr>
              <w:pStyle w:val="Tabletext"/>
            </w:pPr>
            <w:hyperlink r:id="rId116" w:history="1">
              <w:r w:rsidR="00E326D4" w:rsidRPr="00AC1264">
                <w:t>C 1</w:t>
              </w:r>
            </w:hyperlink>
            <w:r w:rsidR="00E326D4" w:rsidRPr="00AC1264">
              <w:t xml:space="preserve">6 </w:t>
            </w:r>
            <w:r w:rsidR="00E326D4" w:rsidRPr="005A6BF7">
              <w:rPr>
                <w:lang w:val="en-US"/>
              </w:rPr>
              <w:t>+ Add1</w:t>
            </w:r>
          </w:p>
        </w:tc>
        <w:tc>
          <w:tcPr>
            <w:tcW w:w="710" w:type="pct"/>
            <w:tcBorders>
              <w:top w:val="single" w:sz="2" w:space="0" w:color="auto"/>
              <w:left w:val="single" w:sz="2" w:space="0" w:color="auto"/>
              <w:bottom w:val="single" w:sz="2" w:space="0" w:color="auto"/>
              <w:right w:val="single" w:sz="2" w:space="0" w:color="auto"/>
            </w:tcBorders>
            <w:shd w:val="clear" w:color="auto" w:fill="E8F8FD"/>
            <w:noWrap/>
            <w:hideMark/>
          </w:tcPr>
          <w:p w:rsidR="00E326D4" w:rsidRPr="00E326D4" w:rsidRDefault="00E326D4" w:rsidP="005A6BF7">
            <w:pPr>
              <w:pStyle w:val="Tabletext"/>
            </w:pPr>
            <w:r w:rsidRPr="00E326D4">
              <w:t>2013-05-06</w:t>
            </w:r>
          </w:p>
        </w:tc>
        <w:tc>
          <w:tcPr>
            <w:tcW w:w="1129"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E326D4" w:rsidRDefault="00E326D4" w:rsidP="005A6BF7">
            <w:pPr>
              <w:pStyle w:val="Tabletext"/>
              <w:rPr>
                <w:lang w:val="en-US"/>
              </w:rPr>
            </w:pPr>
            <w:r w:rsidRPr="00E326D4">
              <w:rPr>
                <w:lang w:val="en-US"/>
              </w:rPr>
              <w:t>Thales (Communications)</w:t>
            </w:r>
          </w:p>
        </w:tc>
        <w:tc>
          <w:tcPr>
            <w:tcW w:w="1635"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E326D4" w:rsidRDefault="00E326D4" w:rsidP="005A6BF7">
            <w:pPr>
              <w:pStyle w:val="Tabletext"/>
              <w:rPr>
                <w:lang w:val="en-US"/>
              </w:rPr>
            </w:pPr>
            <w:r w:rsidRPr="00E326D4">
              <w:rPr>
                <w:lang w:val="en-US"/>
              </w:rPr>
              <w:t>Draft interim report (French and English versions)</w:t>
            </w:r>
          </w:p>
        </w:tc>
        <w:tc>
          <w:tcPr>
            <w:tcW w:w="870"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E326D4" w:rsidRDefault="00E326D4" w:rsidP="005A6BF7">
            <w:pPr>
              <w:pStyle w:val="Tabletext"/>
            </w:pPr>
            <w:r w:rsidRPr="00E326D4">
              <w:t>RES.9</w:t>
            </w:r>
          </w:p>
        </w:tc>
      </w:tr>
      <w:tr w:rsidR="00677508" w:rsidRPr="00E326D4" w:rsidTr="00AC1264">
        <w:trPr>
          <w:jc w:val="center"/>
        </w:trPr>
        <w:tc>
          <w:tcPr>
            <w:tcW w:w="656" w:type="pct"/>
            <w:tcBorders>
              <w:top w:val="single" w:sz="2" w:space="0" w:color="auto"/>
              <w:left w:val="single" w:sz="2" w:space="0" w:color="auto"/>
              <w:bottom w:val="single" w:sz="2" w:space="0" w:color="auto"/>
              <w:right w:val="single" w:sz="2" w:space="0" w:color="auto"/>
            </w:tcBorders>
            <w:hideMark/>
          </w:tcPr>
          <w:p w:rsidR="00677508" w:rsidRPr="005A6BF7" w:rsidRDefault="00677508" w:rsidP="005A6BF7">
            <w:pPr>
              <w:pStyle w:val="Tabletext"/>
            </w:pPr>
            <w:r w:rsidRPr="005A6BF7">
              <w:rPr>
                <w:lang w:val="en-US"/>
              </w:rPr>
              <w:t>C 17 +Add1</w:t>
            </w:r>
          </w:p>
        </w:tc>
        <w:tc>
          <w:tcPr>
            <w:tcW w:w="710" w:type="pct"/>
            <w:tcBorders>
              <w:top w:val="single" w:sz="2" w:space="0" w:color="auto"/>
              <w:left w:val="single" w:sz="2" w:space="0" w:color="auto"/>
              <w:bottom w:val="single" w:sz="2" w:space="0" w:color="auto"/>
              <w:right w:val="single" w:sz="2" w:space="0" w:color="auto"/>
            </w:tcBorders>
            <w:noWrap/>
            <w:hideMark/>
          </w:tcPr>
          <w:p w:rsidR="00677508" w:rsidRPr="00E326D4" w:rsidRDefault="00677508" w:rsidP="005A6BF7">
            <w:pPr>
              <w:pStyle w:val="Tabletext"/>
            </w:pPr>
            <w:r w:rsidRPr="00E326D4">
              <w:t>2013-05-23</w:t>
            </w:r>
          </w:p>
        </w:tc>
        <w:tc>
          <w:tcPr>
            <w:tcW w:w="1129" w:type="pct"/>
            <w:tcBorders>
              <w:top w:val="single" w:sz="2" w:space="0" w:color="auto"/>
              <w:left w:val="single" w:sz="2" w:space="0" w:color="auto"/>
              <w:bottom w:val="single" w:sz="2" w:space="0" w:color="auto"/>
              <w:right w:val="single" w:sz="2" w:space="0" w:color="auto"/>
            </w:tcBorders>
            <w:hideMark/>
          </w:tcPr>
          <w:p w:rsidR="00677508" w:rsidRPr="00677508" w:rsidRDefault="005F357A" w:rsidP="00677508">
            <w:pPr>
              <w:pStyle w:val="Tabletext"/>
              <w:rPr>
                <w:lang w:val="en-US"/>
              </w:rPr>
            </w:pPr>
            <w:hyperlink r:id="rId117" w:history="1">
              <w:r w:rsidR="00677508" w:rsidRPr="00677508">
                <w:rPr>
                  <w:rStyle w:val="Hyperlink"/>
                  <w:lang w:val="en-US"/>
                </w:rPr>
                <w:t>BDT Focal Point for Resolution 9</w:t>
              </w:r>
            </w:hyperlink>
          </w:p>
        </w:tc>
        <w:tc>
          <w:tcPr>
            <w:tcW w:w="1635" w:type="pct"/>
            <w:tcBorders>
              <w:top w:val="single" w:sz="2" w:space="0" w:color="auto"/>
              <w:left w:val="single" w:sz="2" w:space="0" w:color="auto"/>
              <w:bottom w:val="single" w:sz="2" w:space="0" w:color="auto"/>
              <w:right w:val="single" w:sz="2" w:space="0" w:color="auto"/>
            </w:tcBorders>
            <w:hideMark/>
          </w:tcPr>
          <w:p w:rsidR="00677508" w:rsidRPr="00E326D4" w:rsidRDefault="00677508" w:rsidP="00AC1264">
            <w:pPr>
              <w:pStyle w:val="Tabletext"/>
              <w:rPr>
                <w:lang w:val="en-US"/>
              </w:rPr>
            </w:pPr>
            <w:r w:rsidRPr="00E326D4">
              <w:rPr>
                <w:lang w:val="en-US"/>
              </w:rPr>
              <w:t xml:space="preserve">ITU spectrum management training program </w:t>
            </w:r>
          </w:p>
        </w:tc>
        <w:tc>
          <w:tcPr>
            <w:tcW w:w="870" w:type="pct"/>
            <w:tcBorders>
              <w:top w:val="single" w:sz="2" w:space="0" w:color="auto"/>
              <w:left w:val="single" w:sz="2" w:space="0" w:color="auto"/>
              <w:bottom w:val="single" w:sz="2" w:space="0" w:color="auto"/>
              <w:right w:val="single" w:sz="2" w:space="0" w:color="auto"/>
            </w:tcBorders>
            <w:hideMark/>
          </w:tcPr>
          <w:p w:rsidR="00677508" w:rsidRPr="00E326D4" w:rsidRDefault="00677508" w:rsidP="005A6BF7">
            <w:pPr>
              <w:pStyle w:val="Tabletext"/>
            </w:pPr>
            <w:r w:rsidRPr="00E326D4">
              <w:t>RES.9</w:t>
            </w:r>
          </w:p>
        </w:tc>
      </w:tr>
      <w:tr w:rsidR="00677508" w:rsidRPr="00E326D4" w:rsidTr="00AC1264">
        <w:trPr>
          <w:jc w:val="center"/>
        </w:trPr>
        <w:tc>
          <w:tcPr>
            <w:tcW w:w="656"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5A6BF7" w:rsidRDefault="00677508" w:rsidP="005A6BF7">
            <w:pPr>
              <w:pStyle w:val="Tabletext"/>
            </w:pPr>
            <w:r w:rsidRPr="005A6BF7">
              <w:rPr>
                <w:lang w:val="en-US"/>
              </w:rPr>
              <w:t>C 18 + Add1</w:t>
            </w:r>
          </w:p>
        </w:tc>
        <w:tc>
          <w:tcPr>
            <w:tcW w:w="710" w:type="pct"/>
            <w:tcBorders>
              <w:top w:val="single" w:sz="2" w:space="0" w:color="auto"/>
              <w:left w:val="single" w:sz="2" w:space="0" w:color="auto"/>
              <w:bottom w:val="single" w:sz="2" w:space="0" w:color="auto"/>
              <w:right w:val="single" w:sz="2" w:space="0" w:color="auto"/>
            </w:tcBorders>
            <w:shd w:val="clear" w:color="auto" w:fill="E8F8FD"/>
            <w:noWrap/>
            <w:hideMark/>
          </w:tcPr>
          <w:p w:rsidR="00677508" w:rsidRPr="00E326D4" w:rsidRDefault="00677508" w:rsidP="005A6BF7">
            <w:pPr>
              <w:pStyle w:val="Tabletext"/>
            </w:pPr>
            <w:r w:rsidRPr="00E326D4">
              <w:t>2013-05-23</w:t>
            </w:r>
          </w:p>
        </w:tc>
        <w:tc>
          <w:tcPr>
            <w:tcW w:w="1129"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677508" w:rsidRDefault="005F357A" w:rsidP="00677508">
            <w:pPr>
              <w:pStyle w:val="Tabletext"/>
              <w:rPr>
                <w:lang w:val="en-US"/>
              </w:rPr>
            </w:pPr>
            <w:hyperlink r:id="rId118" w:history="1">
              <w:r w:rsidR="00677508" w:rsidRPr="00677508">
                <w:rPr>
                  <w:rStyle w:val="Hyperlink"/>
                  <w:lang w:val="en-US"/>
                </w:rPr>
                <w:t>BDT Focal Point for Resolution 9</w:t>
              </w:r>
            </w:hyperlink>
          </w:p>
        </w:tc>
        <w:tc>
          <w:tcPr>
            <w:tcW w:w="1635"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E326D4" w:rsidRDefault="00677508" w:rsidP="00AC1264">
            <w:pPr>
              <w:pStyle w:val="Tabletext"/>
              <w:rPr>
                <w:lang w:val="en-US"/>
              </w:rPr>
            </w:pPr>
            <w:r w:rsidRPr="00E326D4">
              <w:t xml:space="preserve">Spectrum management trends towards 2020 </w:t>
            </w:r>
          </w:p>
        </w:tc>
        <w:tc>
          <w:tcPr>
            <w:tcW w:w="870"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E326D4" w:rsidRDefault="00677508" w:rsidP="005A6BF7">
            <w:pPr>
              <w:pStyle w:val="Tabletext"/>
            </w:pPr>
            <w:r w:rsidRPr="00E326D4">
              <w:t>RES.9</w:t>
            </w:r>
          </w:p>
        </w:tc>
      </w:tr>
      <w:tr w:rsidR="00677508" w:rsidRPr="00E326D4" w:rsidTr="00AC1264">
        <w:trPr>
          <w:jc w:val="center"/>
        </w:trPr>
        <w:tc>
          <w:tcPr>
            <w:tcW w:w="656" w:type="pct"/>
            <w:tcBorders>
              <w:top w:val="single" w:sz="2" w:space="0" w:color="auto"/>
              <w:left w:val="single" w:sz="2" w:space="0" w:color="auto"/>
              <w:bottom w:val="single" w:sz="2" w:space="0" w:color="auto"/>
              <w:right w:val="single" w:sz="2" w:space="0" w:color="auto"/>
            </w:tcBorders>
            <w:hideMark/>
          </w:tcPr>
          <w:p w:rsidR="00677508" w:rsidRPr="005A6BF7" w:rsidRDefault="00677508" w:rsidP="005A6BF7">
            <w:pPr>
              <w:pStyle w:val="Tabletext"/>
            </w:pPr>
            <w:r w:rsidRPr="005A6BF7">
              <w:rPr>
                <w:lang w:val="en-US"/>
              </w:rPr>
              <w:t>C 19 + Add1</w:t>
            </w:r>
          </w:p>
        </w:tc>
        <w:tc>
          <w:tcPr>
            <w:tcW w:w="710" w:type="pct"/>
            <w:tcBorders>
              <w:top w:val="single" w:sz="2" w:space="0" w:color="auto"/>
              <w:left w:val="single" w:sz="2" w:space="0" w:color="auto"/>
              <w:bottom w:val="single" w:sz="2" w:space="0" w:color="auto"/>
              <w:right w:val="single" w:sz="2" w:space="0" w:color="auto"/>
            </w:tcBorders>
            <w:noWrap/>
            <w:hideMark/>
          </w:tcPr>
          <w:p w:rsidR="00677508" w:rsidRPr="00E326D4" w:rsidRDefault="00677508" w:rsidP="005A6BF7">
            <w:pPr>
              <w:pStyle w:val="Tabletext"/>
            </w:pPr>
            <w:r w:rsidRPr="00E326D4">
              <w:t>2013-05-23</w:t>
            </w:r>
          </w:p>
        </w:tc>
        <w:tc>
          <w:tcPr>
            <w:tcW w:w="1129" w:type="pct"/>
            <w:tcBorders>
              <w:top w:val="single" w:sz="2" w:space="0" w:color="auto"/>
              <w:left w:val="single" w:sz="2" w:space="0" w:color="auto"/>
              <w:bottom w:val="single" w:sz="2" w:space="0" w:color="auto"/>
              <w:right w:val="single" w:sz="2" w:space="0" w:color="auto"/>
            </w:tcBorders>
            <w:hideMark/>
          </w:tcPr>
          <w:p w:rsidR="00677508" w:rsidRPr="00677508" w:rsidRDefault="005F357A" w:rsidP="00677508">
            <w:pPr>
              <w:pStyle w:val="Tabletext"/>
              <w:rPr>
                <w:lang w:val="en-US"/>
              </w:rPr>
            </w:pPr>
            <w:hyperlink r:id="rId119" w:history="1">
              <w:r w:rsidR="00677508" w:rsidRPr="00677508">
                <w:rPr>
                  <w:rStyle w:val="Hyperlink"/>
                  <w:lang w:val="en-US"/>
                </w:rPr>
                <w:t>BDT Focal Point for Resolution 9</w:t>
              </w:r>
            </w:hyperlink>
          </w:p>
        </w:tc>
        <w:tc>
          <w:tcPr>
            <w:tcW w:w="1635" w:type="pct"/>
            <w:tcBorders>
              <w:top w:val="single" w:sz="2" w:space="0" w:color="auto"/>
              <w:left w:val="single" w:sz="2" w:space="0" w:color="auto"/>
              <w:bottom w:val="single" w:sz="2" w:space="0" w:color="auto"/>
              <w:right w:val="single" w:sz="2" w:space="0" w:color="auto"/>
            </w:tcBorders>
            <w:hideMark/>
          </w:tcPr>
          <w:p w:rsidR="00677508" w:rsidRPr="00E326D4" w:rsidRDefault="00677508" w:rsidP="00AC1264">
            <w:pPr>
              <w:pStyle w:val="Tabletext"/>
              <w:rPr>
                <w:lang w:val="en-US"/>
              </w:rPr>
            </w:pPr>
            <w:r w:rsidRPr="00E326D4">
              <w:rPr>
                <w:lang w:val="en-US"/>
              </w:rPr>
              <w:t xml:space="preserve">Digital dividend report - Insights for spectrum decisions </w:t>
            </w:r>
          </w:p>
        </w:tc>
        <w:tc>
          <w:tcPr>
            <w:tcW w:w="870" w:type="pct"/>
            <w:tcBorders>
              <w:top w:val="single" w:sz="2" w:space="0" w:color="auto"/>
              <w:left w:val="single" w:sz="2" w:space="0" w:color="auto"/>
              <w:bottom w:val="single" w:sz="2" w:space="0" w:color="auto"/>
              <w:right w:val="single" w:sz="2" w:space="0" w:color="auto"/>
            </w:tcBorders>
            <w:hideMark/>
          </w:tcPr>
          <w:p w:rsidR="00677508" w:rsidRPr="00E326D4" w:rsidRDefault="00677508" w:rsidP="005A6BF7">
            <w:pPr>
              <w:pStyle w:val="Tabletext"/>
            </w:pPr>
            <w:r w:rsidRPr="00E326D4">
              <w:t>RES.9</w:t>
            </w:r>
          </w:p>
        </w:tc>
      </w:tr>
      <w:tr w:rsidR="00677508" w:rsidRPr="00E326D4" w:rsidTr="00AC1264">
        <w:trPr>
          <w:jc w:val="center"/>
        </w:trPr>
        <w:tc>
          <w:tcPr>
            <w:tcW w:w="656"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5A6BF7" w:rsidRDefault="00677508" w:rsidP="005A6BF7">
            <w:pPr>
              <w:pStyle w:val="Tabletext"/>
            </w:pPr>
            <w:r w:rsidRPr="005A6BF7">
              <w:rPr>
                <w:lang w:val="en-US"/>
              </w:rPr>
              <w:t>C 20 + Add1</w:t>
            </w:r>
          </w:p>
        </w:tc>
        <w:tc>
          <w:tcPr>
            <w:tcW w:w="710" w:type="pct"/>
            <w:tcBorders>
              <w:top w:val="single" w:sz="2" w:space="0" w:color="auto"/>
              <w:left w:val="single" w:sz="2" w:space="0" w:color="auto"/>
              <w:bottom w:val="single" w:sz="2" w:space="0" w:color="auto"/>
              <w:right w:val="single" w:sz="2" w:space="0" w:color="auto"/>
            </w:tcBorders>
            <w:shd w:val="clear" w:color="auto" w:fill="E8F8FD"/>
            <w:noWrap/>
            <w:hideMark/>
          </w:tcPr>
          <w:p w:rsidR="00677508" w:rsidRPr="00E326D4" w:rsidRDefault="00677508" w:rsidP="005A6BF7">
            <w:pPr>
              <w:pStyle w:val="Tabletext"/>
            </w:pPr>
            <w:r w:rsidRPr="00E326D4">
              <w:t>2013-05-27</w:t>
            </w:r>
          </w:p>
        </w:tc>
        <w:tc>
          <w:tcPr>
            <w:tcW w:w="1129"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3C6750" w:rsidRDefault="005F357A" w:rsidP="00677508">
            <w:pPr>
              <w:pStyle w:val="Tabletext"/>
            </w:pPr>
            <w:hyperlink r:id="rId120" w:history="1">
              <w:r w:rsidR="00677508" w:rsidRPr="003C6750">
                <w:rPr>
                  <w:rStyle w:val="Hyperlink"/>
                </w:rPr>
                <w:t>Colombia (Republic of)</w:t>
              </w:r>
            </w:hyperlink>
          </w:p>
        </w:tc>
        <w:tc>
          <w:tcPr>
            <w:tcW w:w="1635"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E326D4" w:rsidRDefault="00677508" w:rsidP="005A6BF7">
            <w:pPr>
              <w:pStyle w:val="Tabletext"/>
              <w:rPr>
                <w:lang w:val="en-US"/>
              </w:rPr>
            </w:pPr>
            <w:r w:rsidRPr="00E326D4">
              <w:rPr>
                <w:lang w:val="en-US"/>
              </w:rPr>
              <w:t>Presentation of the spectrum management handbook developed by the Administration of Colombia</w:t>
            </w:r>
          </w:p>
        </w:tc>
        <w:tc>
          <w:tcPr>
            <w:tcW w:w="870"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E326D4" w:rsidRDefault="00677508" w:rsidP="005A6BF7">
            <w:pPr>
              <w:pStyle w:val="Tabletext"/>
            </w:pPr>
            <w:r w:rsidRPr="00E326D4">
              <w:t>RES.9</w:t>
            </w:r>
          </w:p>
        </w:tc>
      </w:tr>
      <w:tr w:rsidR="00677508" w:rsidRPr="00E326D4" w:rsidTr="00AC1264">
        <w:trPr>
          <w:jc w:val="center"/>
        </w:trPr>
        <w:tc>
          <w:tcPr>
            <w:tcW w:w="656" w:type="pct"/>
            <w:tcBorders>
              <w:top w:val="single" w:sz="2" w:space="0" w:color="auto"/>
              <w:left w:val="single" w:sz="2" w:space="0" w:color="auto"/>
              <w:bottom w:val="single" w:sz="2" w:space="0" w:color="auto"/>
              <w:right w:val="single" w:sz="2" w:space="0" w:color="auto"/>
            </w:tcBorders>
            <w:hideMark/>
          </w:tcPr>
          <w:p w:rsidR="00677508" w:rsidRPr="005A6BF7" w:rsidRDefault="00677508" w:rsidP="005A6BF7">
            <w:pPr>
              <w:pStyle w:val="Tabletext"/>
            </w:pPr>
            <w:r w:rsidRPr="005A6BF7">
              <w:rPr>
                <w:lang w:val="en-US"/>
              </w:rPr>
              <w:t xml:space="preserve">C 21 </w:t>
            </w:r>
          </w:p>
        </w:tc>
        <w:tc>
          <w:tcPr>
            <w:tcW w:w="710" w:type="pct"/>
            <w:tcBorders>
              <w:top w:val="single" w:sz="2" w:space="0" w:color="auto"/>
              <w:left w:val="single" w:sz="2" w:space="0" w:color="auto"/>
              <w:bottom w:val="single" w:sz="2" w:space="0" w:color="auto"/>
              <w:right w:val="single" w:sz="2" w:space="0" w:color="auto"/>
            </w:tcBorders>
            <w:noWrap/>
            <w:hideMark/>
          </w:tcPr>
          <w:p w:rsidR="00677508" w:rsidRPr="00E326D4" w:rsidRDefault="00677508" w:rsidP="005A6BF7">
            <w:pPr>
              <w:pStyle w:val="Tabletext"/>
            </w:pPr>
            <w:r w:rsidRPr="00E326D4">
              <w:t>2013-05-28</w:t>
            </w:r>
          </w:p>
        </w:tc>
        <w:tc>
          <w:tcPr>
            <w:tcW w:w="1129" w:type="pct"/>
            <w:tcBorders>
              <w:top w:val="single" w:sz="2" w:space="0" w:color="auto"/>
              <w:left w:val="single" w:sz="2" w:space="0" w:color="auto"/>
              <w:bottom w:val="single" w:sz="2" w:space="0" w:color="auto"/>
              <w:right w:val="single" w:sz="2" w:space="0" w:color="auto"/>
            </w:tcBorders>
            <w:hideMark/>
          </w:tcPr>
          <w:p w:rsidR="00677508" w:rsidRPr="003C6750" w:rsidRDefault="005F357A" w:rsidP="00677508">
            <w:pPr>
              <w:pStyle w:val="Tabletext"/>
            </w:pPr>
            <w:hyperlink r:id="rId121" w:history="1">
              <w:r w:rsidR="00677508" w:rsidRPr="003C6750">
                <w:rPr>
                  <w:rStyle w:val="Hyperlink"/>
                </w:rPr>
                <w:t>European Communications Office</w:t>
              </w:r>
            </w:hyperlink>
            <w:r w:rsidR="00677508" w:rsidRPr="003C6750">
              <w:t xml:space="preserve"> </w:t>
            </w:r>
          </w:p>
        </w:tc>
        <w:tc>
          <w:tcPr>
            <w:tcW w:w="1635" w:type="pct"/>
            <w:tcBorders>
              <w:top w:val="single" w:sz="2" w:space="0" w:color="auto"/>
              <w:left w:val="single" w:sz="2" w:space="0" w:color="auto"/>
              <w:bottom w:val="single" w:sz="2" w:space="0" w:color="auto"/>
              <w:right w:val="single" w:sz="2" w:space="0" w:color="auto"/>
            </w:tcBorders>
            <w:hideMark/>
          </w:tcPr>
          <w:p w:rsidR="00677508" w:rsidRPr="00E326D4" w:rsidRDefault="00677508" w:rsidP="00AC1264">
            <w:pPr>
              <w:pStyle w:val="Tabletext"/>
              <w:rPr>
                <w:lang w:val="fr-CH"/>
              </w:rPr>
            </w:pPr>
            <w:r w:rsidRPr="00E326D4">
              <w:t xml:space="preserve">EFIS presentation </w:t>
            </w:r>
          </w:p>
        </w:tc>
        <w:tc>
          <w:tcPr>
            <w:tcW w:w="870" w:type="pct"/>
            <w:tcBorders>
              <w:top w:val="single" w:sz="2" w:space="0" w:color="auto"/>
              <w:left w:val="single" w:sz="2" w:space="0" w:color="auto"/>
              <w:bottom w:val="single" w:sz="2" w:space="0" w:color="auto"/>
              <w:right w:val="single" w:sz="2" w:space="0" w:color="auto"/>
            </w:tcBorders>
            <w:hideMark/>
          </w:tcPr>
          <w:p w:rsidR="00677508" w:rsidRPr="00E326D4" w:rsidRDefault="00677508" w:rsidP="005A6BF7">
            <w:pPr>
              <w:pStyle w:val="Tabletext"/>
            </w:pPr>
            <w:r w:rsidRPr="00E326D4">
              <w:t>RES.9</w:t>
            </w:r>
          </w:p>
        </w:tc>
      </w:tr>
      <w:tr w:rsidR="00677508" w:rsidRPr="00E326D4" w:rsidTr="00AC1264">
        <w:trPr>
          <w:trHeight w:val="1815"/>
          <w:jc w:val="center"/>
        </w:trPr>
        <w:tc>
          <w:tcPr>
            <w:tcW w:w="656"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5A6BF7" w:rsidRDefault="00677508" w:rsidP="005A6BF7">
            <w:pPr>
              <w:pStyle w:val="Tabletext"/>
            </w:pPr>
            <w:r w:rsidRPr="005A6BF7">
              <w:rPr>
                <w:lang w:val="en-US"/>
              </w:rPr>
              <w:t>C 22</w:t>
            </w:r>
          </w:p>
        </w:tc>
        <w:tc>
          <w:tcPr>
            <w:tcW w:w="710" w:type="pct"/>
            <w:tcBorders>
              <w:top w:val="single" w:sz="2" w:space="0" w:color="auto"/>
              <w:left w:val="single" w:sz="2" w:space="0" w:color="auto"/>
              <w:bottom w:val="single" w:sz="2" w:space="0" w:color="auto"/>
              <w:right w:val="single" w:sz="2" w:space="0" w:color="auto"/>
            </w:tcBorders>
            <w:shd w:val="clear" w:color="auto" w:fill="E8F8FD"/>
            <w:noWrap/>
            <w:hideMark/>
          </w:tcPr>
          <w:p w:rsidR="00677508" w:rsidRPr="00E326D4" w:rsidRDefault="00677508" w:rsidP="005A6BF7">
            <w:pPr>
              <w:pStyle w:val="Tabletext"/>
            </w:pPr>
            <w:r w:rsidRPr="00E326D4">
              <w:t>2013-06-05</w:t>
            </w:r>
          </w:p>
        </w:tc>
        <w:tc>
          <w:tcPr>
            <w:tcW w:w="1129"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677508" w:rsidRDefault="005F357A" w:rsidP="00677508">
            <w:pPr>
              <w:pStyle w:val="Tabletext"/>
              <w:rPr>
                <w:lang w:val="en-US"/>
              </w:rPr>
            </w:pPr>
            <w:hyperlink r:id="rId122" w:history="1">
              <w:r w:rsidR="00677508" w:rsidRPr="00677508">
                <w:rPr>
                  <w:rStyle w:val="Hyperlink"/>
                  <w:lang w:val="en-US"/>
                </w:rPr>
                <w:t>ITU-R Study Groups - Working Party 5A</w:t>
              </w:r>
            </w:hyperlink>
          </w:p>
        </w:tc>
        <w:tc>
          <w:tcPr>
            <w:tcW w:w="1635"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E326D4" w:rsidRDefault="00677508" w:rsidP="00AC1264">
            <w:pPr>
              <w:pStyle w:val="Tabletext"/>
              <w:rPr>
                <w:lang w:val="en-US"/>
              </w:rPr>
            </w:pPr>
            <w:r w:rsidRPr="00E326D4">
              <w:rPr>
                <w:lang w:val="en-US"/>
              </w:rPr>
              <w:t>Liaison Statement from ITU-R WP5A to ITU-D SG 2 on the Use of spectrum and radio technology low cost sustainable telecommunication infrastructure for rural communications in developing countries  </w:t>
            </w:r>
          </w:p>
        </w:tc>
        <w:tc>
          <w:tcPr>
            <w:tcW w:w="870"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E326D4" w:rsidRDefault="00677508" w:rsidP="00AC1264">
            <w:pPr>
              <w:pStyle w:val="Tabletext"/>
            </w:pPr>
            <w:r w:rsidRPr="00E326D4">
              <w:t>RES.9 + Q 10-3/</w:t>
            </w:r>
            <w:r w:rsidRPr="00AC1264">
              <w:t>2 LS</w:t>
            </w:r>
          </w:p>
        </w:tc>
      </w:tr>
      <w:tr w:rsidR="00677508" w:rsidRPr="00E326D4" w:rsidTr="00AC1264">
        <w:trPr>
          <w:trHeight w:val="330"/>
          <w:jc w:val="center"/>
        </w:trPr>
        <w:tc>
          <w:tcPr>
            <w:tcW w:w="656" w:type="pct"/>
            <w:tcBorders>
              <w:top w:val="single" w:sz="2" w:space="0" w:color="auto"/>
              <w:left w:val="single" w:sz="2" w:space="0" w:color="auto"/>
              <w:bottom w:val="single" w:sz="4" w:space="0" w:color="auto"/>
              <w:right w:val="single" w:sz="2" w:space="0" w:color="auto"/>
            </w:tcBorders>
            <w:hideMark/>
          </w:tcPr>
          <w:p w:rsidR="00677508" w:rsidRPr="005A6BF7" w:rsidRDefault="00677508" w:rsidP="005A6BF7">
            <w:pPr>
              <w:pStyle w:val="Tabletext"/>
              <w:rPr>
                <w:lang w:val="en-US"/>
              </w:rPr>
            </w:pPr>
            <w:r w:rsidRPr="005A6BF7">
              <w:rPr>
                <w:lang w:val="en-US"/>
              </w:rPr>
              <w:t>C 23 + Add 1</w:t>
            </w:r>
          </w:p>
        </w:tc>
        <w:tc>
          <w:tcPr>
            <w:tcW w:w="710" w:type="pct"/>
            <w:tcBorders>
              <w:top w:val="single" w:sz="2" w:space="0" w:color="auto"/>
              <w:left w:val="single" w:sz="2" w:space="0" w:color="auto"/>
              <w:bottom w:val="single" w:sz="2" w:space="0" w:color="auto"/>
              <w:right w:val="single" w:sz="2" w:space="0" w:color="auto"/>
            </w:tcBorders>
            <w:noWrap/>
            <w:hideMark/>
          </w:tcPr>
          <w:p w:rsidR="00677508" w:rsidRPr="00E326D4" w:rsidRDefault="00677508" w:rsidP="005A6BF7">
            <w:pPr>
              <w:pStyle w:val="Tabletext"/>
            </w:pPr>
            <w:r w:rsidRPr="00E326D4">
              <w:t>2013-06-06</w:t>
            </w:r>
          </w:p>
        </w:tc>
        <w:tc>
          <w:tcPr>
            <w:tcW w:w="1129" w:type="pct"/>
            <w:tcBorders>
              <w:top w:val="single" w:sz="2" w:space="0" w:color="auto"/>
              <w:left w:val="single" w:sz="2" w:space="0" w:color="auto"/>
              <w:bottom w:val="single" w:sz="2" w:space="0" w:color="auto"/>
              <w:right w:val="single" w:sz="2" w:space="0" w:color="auto"/>
            </w:tcBorders>
            <w:hideMark/>
          </w:tcPr>
          <w:p w:rsidR="00677508" w:rsidRPr="00677508" w:rsidRDefault="00677508" w:rsidP="00677508">
            <w:pPr>
              <w:pStyle w:val="Tabletext"/>
              <w:rPr>
                <w:lang w:val="en-US"/>
              </w:rPr>
            </w:pPr>
            <w:r w:rsidRPr="00677508">
              <w:rPr>
                <w:lang w:val="en-US"/>
              </w:rPr>
              <w:t>I</w:t>
            </w:r>
            <w:hyperlink r:id="rId123" w:history="1">
              <w:r w:rsidRPr="00677508">
                <w:rPr>
                  <w:rStyle w:val="Hyperlink"/>
                  <w:lang w:val="en-US"/>
                </w:rPr>
                <w:t>TU-D Co-Chairman, Joint Group on Resolution 9</w:t>
              </w:r>
            </w:hyperlink>
          </w:p>
        </w:tc>
        <w:tc>
          <w:tcPr>
            <w:tcW w:w="1635" w:type="pct"/>
            <w:tcBorders>
              <w:top w:val="single" w:sz="2" w:space="0" w:color="auto"/>
              <w:left w:val="single" w:sz="2" w:space="0" w:color="auto"/>
              <w:bottom w:val="single" w:sz="2" w:space="0" w:color="auto"/>
              <w:right w:val="single" w:sz="2" w:space="0" w:color="auto"/>
            </w:tcBorders>
            <w:hideMark/>
          </w:tcPr>
          <w:p w:rsidR="00677508" w:rsidRPr="00E326D4" w:rsidRDefault="00677508" w:rsidP="00AC1264">
            <w:pPr>
              <w:pStyle w:val="Tabletext"/>
              <w:rPr>
                <w:lang w:val="en-US"/>
              </w:rPr>
            </w:pPr>
            <w:r w:rsidRPr="00E326D4">
              <w:rPr>
                <w:lang w:val="en-US"/>
              </w:rPr>
              <w:t xml:space="preserve">Input for revised version of draft interim report </w:t>
            </w:r>
          </w:p>
        </w:tc>
        <w:tc>
          <w:tcPr>
            <w:tcW w:w="870" w:type="pct"/>
            <w:tcBorders>
              <w:top w:val="single" w:sz="2" w:space="0" w:color="auto"/>
              <w:left w:val="single" w:sz="2" w:space="0" w:color="auto"/>
              <w:bottom w:val="single" w:sz="2" w:space="0" w:color="auto"/>
              <w:right w:val="single" w:sz="2" w:space="0" w:color="auto"/>
            </w:tcBorders>
            <w:hideMark/>
          </w:tcPr>
          <w:p w:rsidR="00677508" w:rsidRPr="00E326D4" w:rsidRDefault="00677508" w:rsidP="005A6BF7">
            <w:pPr>
              <w:pStyle w:val="Tabletext"/>
              <w:rPr>
                <w:lang w:val="en-US"/>
              </w:rPr>
            </w:pPr>
            <w:r w:rsidRPr="00E326D4">
              <w:t>RES.9</w:t>
            </w:r>
          </w:p>
        </w:tc>
      </w:tr>
    </w:tbl>
    <w:p w:rsidR="00E326D4" w:rsidRPr="00AC1264" w:rsidRDefault="00E326D4" w:rsidP="00AC1264">
      <w:pPr>
        <w:spacing w:before="0"/>
        <w:rPr>
          <w:sz w:val="6"/>
          <w:lang w:val="en-US"/>
        </w:rPr>
      </w:pPr>
    </w:p>
    <w:p w:rsidR="00AC1264" w:rsidRDefault="00AC1264">
      <w:pPr>
        <w:spacing w:before="0"/>
        <w:jc w:val="left"/>
        <w:rPr>
          <w:rFonts w:eastAsia="Times New Roman" w:cs="Helvetica"/>
          <w:b/>
          <w:bCs/>
          <w:color w:val="005173"/>
          <w:sz w:val="24"/>
          <w:szCs w:val="32"/>
          <w:lang w:val="en-US"/>
        </w:rPr>
      </w:pPr>
      <w:r>
        <w:br w:type="page"/>
      </w:r>
    </w:p>
    <w:p w:rsidR="00E326D4" w:rsidRDefault="00E326D4" w:rsidP="00E326D4">
      <w:pPr>
        <w:pStyle w:val="Heading2"/>
      </w:pPr>
      <w:bookmarkStart w:id="78" w:name="_Toc380408347"/>
      <w:r w:rsidRPr="00E326D4">
        <w:lastRenderedPageBreak/>
        <w:t>5.3</w:t>
      </w:r>
      <w:r>
        <w:tab/>
      </w:r>
      <w:r w:rsidRPr="00E326D4">
        <w:t>Meeting Report</w:t>
      </w:r>
      <w:bookmarkEnd w:id="78"/>
    </w:p>
    <w:p w:rsidR="00E326D4" w:rsidRPr="00E326D4" w:rsidRDefault="00E326D4" w:rsidP="00E326D4">
      <w:pPr>
        <w:rPr>
          <w:b/>
          <w:bCs/>
          <w:szCs w:val="21"/>
          <w:lang w:val="en-US"/>
        </w:rPr>
      </w:pP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808"/>
        <w:gridCol w:w="1470"/>
        <w:gridCol w:w="2332"/>
        <w:gridCol w:w="3090"/>
        <w:gridCol w:w="1372"/>
      </w:tblGrid>
      <w:tr w:rsidR="00E326D4" w:rsidRPr="00E326D4" w:rsidTr="00AC1264">
        <w:trPr>
          <w:tblHeader/>
          <w:jc w:val="center"/>
        </w:trPr>
        <w:tc>
          <w:tcPr>
            <w:tcW w:w="446"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AC1264">
            <w:pPr>
              <w:pStyle w:val="Tablehead"/>
            </w:pPr>
            <w:r w:rsidRPr="00E326D4">
              <w:t>Web</w:t>
            </w:r>
          </w:p>
        </w:tc>
        <w:tc>
          <w:tcPr>
            <w:tcW w:w="810"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AC1264">
            <w:pPr>
              <w:pStyle w:val="Tablehead"/>
            </w:pPr>
            <w:r w:rsidRPr="00E326D4">
              <w:t>Received</w:t>
            </w:r>
          </w:p>
        </w:tc>
        <w:tc>
          <w:tcPr>
            <w:tcW w:w="1285"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AC1264">
            <w:pPr>
              <w:pStyle w:val="Tablehead"/>
            </w:pPr>
            <w:r w:rsidRPr="00E326D4">
              <w:t>Source</w:t>
            </w:r>
          </w:p>
        </w:tc>
        <w:tc>
          <w:tcPr>
            <w:tcW w:w="1703"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AC1264">
            <w:pPr>
              <w:pStyle w:val="Tablehead"/>
            </w:pPr>
            <w:r w:rsidRPr="00E326D4">
              <w:t>Title</w:t>
            </w:r>
          </w:p>
        </w:tc>
        <w:tc>
          <w:tcPr>
            <w:tcW w:w="756"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AC1264">
            <w:pPr>
              <w:pStyle w:val="Tablehead"/>
            </w:pPr>
            <w:r w:rsidRPr="00E326D4">
              <w:t>Questions</w:t>
            </w:r>
          </w:p>
        </w:tc>
      </w:tr>
      <w:tr w:rsidR="00E326D4" w:rsidRPr="00E326D4" w:rsidTr="00AC1264">
        <w:trPr>
          <w:jc w:val="center"/>
        </w:trPr>
        <w:tc>
          <w:tcPr>
            <w:tcW w:w="446"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E326D4" w:rsidRDefault="00E326D4" w:rsidP="00AC1264">
            <w:pPr>
              <w:pStyle w:val="Tabletext"/>
              <w:rPr>
                <w:lang w:val="en-US"/>
              </w:rPr>
            </w:pPr>
            <w:r w:rsidRPr="00E326D4">
              <w:rPr>
                <w:lang w:val="en-US"/>
              </w:rPr>
              <w:t>R3</w:t>
            </w:r>
          </w:p>
        </w:tc>
        <w:tc>
          <w:tcPr>
            <w:tcW w:w="810" w:type="pct"/>
            <w:tcBorders>
              <w:top w:val="single" w:sz="2" w:space="0" w:color="auto"/>
              <w:left w:val="single" w:sz="2" w:space="0" w:color="auto"/>
              <w:bottom w:val="single" w:sz="2" w:space="0" w:color="auto"/>
              <w:right w:val="single" w:sz="2" w:space="0" w:color="auto"/>
            </w:tcBorders>
            <w:shd w:val="clear" w:color="auto" w:fill="E8F8FD"/>
            <w:noWrap/>
            <w:hideMark/>
          </w:tcPr>
          <w:p w:rsidR="00E326D4" w:rsidRPr="00E326D4" w:rsidRDefault="00E326D4" w:rsidP="00AC1264">
            <w:pPr>
              <w:pStyle w:val="Tabletext"/>
              <w:rPr>
                <w:lang w:val="en-US"/>
              </w:rPr>
            </w:pPr>
            <w:r w:rsidRPr="00E326D4">
              <w:t>2013-06-18</w:t>
            </w:r>
          </w:p>
        </w:tc>
        <w:tc>
          <w:tcPr>
            <w:tcW w:w="1285"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E326D4" w:rsidRDefault="00E326D4" w:rsidP="00AC1264">
            <w:pPr>
              <w:pStyle w:val="Tabletext"/>
              <w:rPr>
                <w:lang w:val="en-US"/>
              </w:rPr>
            </w:pPr>
            <w:r w:rsidRPr="00E326D4">
              <w:rPr>
                <w:lang w:val="en-US"/>
              </w:rPr>
              <w:t>ITU-D Co-Chairman of the Joint Group on Resolution 9</w:t>
            </w:r>
          </w:p>
        </w:tc>
        <w:tc>
          <w:tcPr>
            <w:tcW w:w="1703"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E326D4" w:rsidRDefault="00E326D4" w:rsidP="00AC1264">
            <w:pPr>
              <w:pStyle w:val="Tabletext"/>
              <w:rPr>
                <w:lang w:val="en-US"/>
              </w:rPr>
            </w:pPr>
            <w:r w:rsidRPr="00E326D4">
              <w:rPr>
                <w:lang w:val="en-US"/>
              </w:rPr>
              <w:t>Report of the Meeting of the Joint Group on Resolution 9 (Rev. Hyderabad, 2010),</w:t>
            </w:r>
            <w:r w:rsidR="0059184A">
              <w:rPr>
                <w:lang w:val="en-US"/>
              </w:rPr>
              <w:t xml:space="preserve"> </w:t>
            </w:r>
            <w:r w:rsidRPr="00E326D4">
              <w:rPr>
                <w:lang w:val="en-US"/>
              </w:rPr>
              <w:t xml:space="preserve">Geneva, Thursday, 13 June 2013     </w:t>
            </w:r>
          </w:p>
        </w:tc>
        <w:tc>
          <w:tcPr>
            <w:tcW w:w="756"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E326D4" w:rsidRDefault="00E326D4" w:rsidP="00AC1264">
            <w:pPr>
              <w:pStyle w:val="Tabletext"/>
            </w:pPr>
            <w:r w:rsidRPr="00E326D4">
              <w:t>RES. 9</w:t>
            </w:r>
          </w:p>
        </w:tc>
      </w:tr>
    </w:tbl>
    <w:p w:rsidR="00E326D4" w:rsidRPr="00E326D4" w:rsidRDefault="00E326D4" w:rsidP="00E326D4">
      <w:pPr>
        <w:pStyle w:val="Heading1"/>
      </w:pPr>
      <w:bookmarkStart w:id="79" w:name="_Toc380408348"/>
      <w:r w:rsidRPr="00E326D4">
        <w:t>VI</w:t>
      </w:r>
      <w:r>
        <w:tab/>
      </w:r>
      <w:r w:rsidRPr="00E326D4">
        <w:t>Meeting of the Joint Group on Resolution 9 ( 16 September 2013)</w:t>
      </w:r>
      <w:bookmarkEnd w:id="79"/>
    </w:p>
    <w:p w:rsidR="00E326D4" w:rsidRDefault="00E326D4" w:rsidP="00E326D4">
      <w:pPr>
        <w:pStyle w:val="Heading2"/>
      </w:pPr>
      <w:bookmarkStart w:id="80" w:name="_Toc380408349"/>
      <w:r w:rsidRPr="00E326D4">
        <w:t>6.1</w:t>
      </w:r>
      <w:r>
        <w:tab/>
      </w:r>
      <w:r w:rsidRPr="00E326D4">
        <w:t>Agenda</w:t>
      </w:r>
      <w:bookmarkEnd w:id="80"/>
      <w:r w:rsidRPr="00E326D4">
        <w:t xml:space="preserve"> </w:t>
      </w:r>
    </w:p>
    <w:p w:rsidR="00E326D4" w:rsidRPr="00E326D4" w:rsidRDefault="00E326D4" w:rsidP="00E326D4">
      <w:pPr>
        <w:rPr>
          <w:lang w:val="en-US"/>
        </w:rPr>
      </w:pP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808"/>
        <w:gridCol w:w="1530"/>
        <w:gridCol w:w="2255"/>
        <w:gridCol w:w="3104"/>
        <w:gridCol w:w="1375"/>
      </w:tblGrid>
      <w:tr w:rsidR="00E326D4" w:rsidRPr="00E326D4" w:rsidTr="00AC1264">
        <w:trPr>
          <w:tblHeader/>
          <w:jc w:val="center"/>
        </w:trPr>
        <w:tc>
          <w:tcPr>
            <w:tcW w:w="445"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AC1264">
            <w:pPr>
              <w:pStyle w:val="Tablehead"/>
            </w:pPr>
            <w:r w:rsidRPr="00E326D4">
              <w:t>Web</w:t>
            </w:r>
          </w:p>
        </w:tc>
        <w:tc>
          <w:tcPr>
            <w:tcW w:w="843"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AC1264">
            <w:pPr>
              <w:pStyle w:val="Tablehead"/>
            </w:pPr>
            <w:r w:rsidRPr="00E326D4">
              <w:t>Received</w:t>
            </w:r>
          </w:p>
        </w:tc>
        <w:tc>
          <w:tcPr>
            <w:tcW w:w="1243"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AC1264">
            <w:pPr>
              <w:pStyle w:val="Tablehead"/>
            </w:pPr>
            <w:r w:rsidRPr="00E326D4">
              <w:t>Source</w:t>
            </w:r>
          </w:p>
        </w:tc>
        <w:tc>
          <w:tcPr>
            <w:tcW w:w="1711"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AC1264">
            <w:pPr>
              <w:pStyle w:val="Tablehead"/>
            </w:pPr>
            <w:r w:rsidRPr="00E326D4">
              <w:t>Title</w:t>
            </w:r>
          </w:p>
        </w:tc>
        <w:tc>
          <w:tcPr>
            <w:tcW w:w="758"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AC1264">
            <w:pPr>
              <w:pStyle w:val="Tablehead"/>
            </w:pPr>
            <w:r w:rsidRPr="00E326D4">
              <w:t>Questions</w:t>
            </w:r>
          </w:p>
        </w:tc>
      </w:tr>
      <w:tr w:rsidR="00E326D4" w:rsidRPr="00E326D4" w:rsidTr="00AC1264">
        <w:trPr>
          <w:jc w:val="center"/>
        </w:trPr>
        <w:tc>
          <w:tcPr>
            <w:tcW w:w="445"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E326D4" w:rsidRDefault="00E326D4" w:rsidP="00AC1264">
            <w:pPr>
              <w:pStyle w:val="Tabletext"/>
            </w:pPr>
            <w:r w:rsidRPr="00E326D4">
              <w:t xml:space="preserve">OJ </w:t>
            </w:r>
          </w:p>
        </w:tc>
        <w:tc>
          <w:tcPr>
            <w:tcW w:w="843" w:type="pct"/>
            <w:tcBorders>
              <w:top w:val="single" w:sz="2" w:space="0" w:color="auto"/>
              <w:left w:val="single" w:sz="2" w:space="0" w:color="auto"/>
              <w:bottom w:val="single" w:sz="2" w:space="0" w:color="auto"/>
              <w:right w:val="single" w:sz="2" w:space="0" w:color="auto"/>
            </w:tcBorders>
            <w:shd w:val="clear" w:color="auto" w:fill="E8F8FD"/>
            <w:noWrap/>
            <w:hideMark/>
          </w:tcPr>
          <w:p w:rsidR="00E326D4" w:rsidRPr="00E326D4" w:rsidRDefault="00E326D4" w:rsidP="00AC1264">
            <w:pPr>
              <w:pStyle w:val="Tabletext"/>
            </w:pPr>
            <w:r w:rsidRPr="00E326D4">
              <w:t>2013-</w:t>
            </w:r>
          </w:p>
        </w:tc>
        <w:tc>
          <w:tcPr>
            <w:tcW w:w="1243"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250D23" w:rsidRDefault="005F357A" w:rsidP="00AC1264">
            <w:pPr>
              <w:pStyle w:val="Tabletext"/>
              <w:rPr>
                <w:lang w:val="en-US"/>
              </w:rPr>
            </w:pPr>
            <w:hyperlink r:id="rId124" w:history="1">
              <w:r w:rsidR="00677508" w:rsidRPr="00677508">
                <w:rPr>
                  <w:rStyle w:val="Hyperlink"/>
                  <w:lang w:val="en-US"/>
                </w:rPr>
                <w:t>ITU-D Co-Chairman, Joint Group on Resolution 9</w:t>
              </w:r>
            </w:hyperlink>
          </w:p>
        </w:tc>
        <w:tc>
          <w:tcPr>
            <w:tcW w:w="1711" w:type="pct"/>
            <w:tcBorders>
              <w:top w:val="single" w:sz="2" w:space="0" w:color="auto"/>
              <w:left w:val="single" w:sz="2" w:space="0" w:color="auto"/>
              <w:bottom w:val="single" w:sz="2" w:space="0" w:color="auto"/>
              <w:right w:val="single" w:sz="2" w:space="0" w:color="auto"/>
            </w:tcBorders>
            <w:shd w:val="clear" w:color="auto" w:fill="E8F8FD"/>
          </w:tcPr>
          <w:p w:rsidR="00E326D4" w:rsidRPr="00250D23" w:rsidRDefault="00E326D4" w:rsidP="00AC1264">
            <w:pPr>
              <w:pStyle w:val="Tabletext"/>
              <w:rPr>
                <w:lang w:val="en-US"/>
              </w:rPr>
            </w:pPr>
          </w:p>
        </w:tc>
        <w:tc>
          <w:tcPr>
            <w:tcW w:w="758"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E326D4" w:rsidRDefault="00E326D4" w:rsidP="00AC1264">
            <w:pPr>
              <w:pStyle w:val="Tabletext"/>
            </w:pPr>
            <w:r w:rsidRPr="00E326D4">
              <w:t>RES9</w:t>
            </w:r>
          </w:p>
        </w:tc>
      </w:tr>
    </w:tbl>
    <w:p w:rsidR="00E326D4" w:rsidRDefault="00E326D4" w:rsidP="00E326D4">
      <w:pPr>
        <w:pStyle w:val="Heading2"/>
      </w:pPr>
      <w:bookmarkStart w:id="81" w:name="_Toc380408350"/>
      <w:r w:rsidRPr="00E326D4">
        <w:t>6.2</w:t>
      </w:r>
      <w:r>
        <w:tab/>
      </w:r>
      <w:r w:rsidRPr="00E326D4">
        <w:t>Contributions</w:t>
      </w:r>
      <w:bookmarkEnd w:id="81"/>
    </w:p>
    <w:p w:rsidR="00E326D4" w:rsidRPr="00E326D4" w:rsidRDefault="00E326D4" w:rsidP="00E326D4">
      <w:pPr>
        <w:rPr>
          <w:lang w:val="en-US"/>
        </w:rPr>
      </w:pP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65"/>
        <w:gridCol w:w="1350"/>
        <w:gridCol w:w="2212"/>
        <w:gridCol w:w="3311"/>
        <w:gridCol w:w="1234"/>
      </w:tblGrid>
      <w:tr w:rsidR="00E326D4" w:rsidRPr="00E326D4" w:rsidTr="00AC1264">
        <w:trPr>
          <w:tblHeader/>
          <w:jc w:val="center"/>
        </w:trPr>
        <w:tc>
          <w:tcPr>
            <w:tcW w:w="532"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AC1264">
            <w:pPr>
              <w:pStyle w:val="Tablehead"/>
            </w:pPr>
            <w:r w:rsidRPr="00E326D4">
              <w:t>Web</w:t>
            </w:r>
          </w:p>
        </w:tc>
        <w:tc>
          <w:tcPr>
            <w:tcW w:w="744"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AC1264">
            <w:pPr>
              <w:pStyle w:val="Tablehead"/>
            </w:pPr>
            <w:r w:rsidRPr="00E326D4">
              <w:t>Received</w:t>
            </w:r>
          </w:p>
        </w:tc>
        <w:tc>
          <w:tcPr>
            <w:tcW w:w="1219"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AC1264">
            <w:pPr>
              <w:pStyle w:val="Tablehead"/>
            </w:pPr>
            <w:r w:rsidRPr="00E326D4">
              <w:t>Source</w:t>
            </w:r>
          </w:p>
        </w:tc>
        <w:tc>
          <w:tcPr>
            <w:tcW w:w="1825"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AC1264">
            <w:pPr>
              <w:pStyle w:val="Tablehead"/>
            </w:pPr>
            <w:r w:rsidRPr="00E326D4">
              <w:t>Title</w:t>
            </w:r>
          </w:p>
        </w:tc>
        <w:tc>
          <w:tcPr>
            <w:tcW w:w="680"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AC1264">
            <w:pPr>
              <w:pStyle w:val="Tablehead"/>
            </w:pPr>
            <w:r w:rsidRPr="00E326D4">
              <w:t>Questions</w:t>
            </w:r>
          </w:p>
        </w:tc>
      </w:tr>
      <w:tr w:rsidR="00677508" w:rsidRPr="00AC1264" w:rsidTr="00AC1264">
        <w:trPr>
          <w:jc w:val="center"/>
        </w:trPr>
        <w:tc>
          <w:tcPr>
            <w:tcW w:w="532" w:type="pct"/>
            <w:tcBorders>
              <w:top w:val="single" w:sz="2" w:space="0" w:color="auto"/>
              <w:left w:val="single" w:sz="2" w:space="0" w:color="auto"/>
              <w:bottom w:val="single" w:sz="2" w:space="0" w:color="auto"/>
              <w:right w:val="single" w:sz="2" w:space="0" w:color="auto"/>
            </w:tcBorders>
            <w:shd w:val="clear" w:color="auto" w:fill="E8F8FD"/>
            <w:hideMark/>
          </w:tcPr>
          <w:p w:rsidR="00677508" w:rsidRDefault="005F357A" w:rsidP="00677508">
            <w:pPr>
              <w:pStyle w:val="Tabletext"/>
            </w:pPr>
            <w:hyperlink r:id="rId125" w:history="1">
              <w:r w:rsidR="00677508">
                <w:rPr>
                  <w:rStyle w:val="Hyperlink"/>
                </w:rPr>
                <w:t>[ C 326 ]</w:t>
              </w:r>
            </w:hyperlink>
          </w:p>
        </w:tc>
        <w:tc>
          <w:tcPr>
            <w:tcW w:w="744" w:type="pct"/>
            <w:tcBorders>
              <w:top w:val="single" w:sz="2" w:space="0" w:color="auto"/>
              <w:left w:val="single" w:sz="2" w:space="0" w:color="auto"/>
              <w:bottom w:val="single" w:sz="2" w:space="0" w:color="auto"/>
              <w:right w:val="single" w:sz="2" w:space="0" w:color="auto"/>
            </w:tcBorders>
            <w:shd w:val="clear" w:color="auto" w:fill="E8F8FD"/>
            <w:noWrap/>
            <w:hideMark/>
          </w:tcPr>
          <w:p w:rsidR="00677508" w:rsidRPr="00AC1264" w:rsidRDefault="00677508" w:rsidP="00AC1264">
            <w:pPr>
              <w:pStyle w:val="Tabletext"/>
            </w:pPr>
            <w:r w:rsidRPr="00AC1264">
              <w:t>2013-08-29</w:t>
            </w:r>
          </w:p>
        </w:tc>
        <w:tc>
          <w:tcPr>
            <w:tcW w:w="1219"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AC1264" w:rsidRDefault="00677508" w:rsidP="00AC1264">
            <w:pPr>
              <w:pStyle w:val="Tabletext"/>
            </w:pPr>
            <w:r w:rsidRPr="00AC1264">
              <w:t>Colombia (Republic of)</w:t>
            </w:r>
          </w:p>
        </w:tc>
        <w:tc>
          <w:tcPr>
            <w:tcW w:w="1825"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250D23" w:rsidRDefault="00677508" w:rsidP="00AC1264">
            <w:pPr>
              <w:pStyle w:val="Tabletext"/>
              <w:rPr>
                <w:lang w:val="es-ES"/>
              </w:rPr>
            </w:pPr>
            <w:r w:rsidRPr="00250D23">
              <w:rPr>
                <w:lang w:val="es-ES"/>
              </w:rPr>
              <w:t>Manual de espectro colombiano y contraprestaciones a grupo</w:t>
            </w:r>
          </w:p>
        </w:tc>
        <w:tc>
          <w:tcPr>
            <w:tcW w:w="680"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AC1264" w:rsidRDefault="00677508" w:rsidP="00AC1264">
            <w:pPr>
              <w:pStyle w:val="Tabletext"/>
            </w:pPr>
            <w:r w:rsidRPr="00AC1264">
              <w:t>RES.9</w:t>
            </w:r>
          </w:p>
        </w:tc>
      </w:tr>
      <w:tr w:rsidR="00677508" w:rsidRPr="00AC1264" w:rsidTr="00AC1264">
        <w:trPr>
          <w:jc w:val="center"/>
        </w:trPr>
        <w:tc>
          <w:tcPr>
            <w:tcW w:w="532" w:type="pct"/>
            <w:tcBorders>
              <w:top w:val="single" w:sz="2" w:space="0" w:color="auto"/>
              <w:left w:val="single" w:sz="2" w:space="0" w:color="auto"/>
              <w:bottom w:val="single" w:sz="2" w:space="0" w:color="auto"/>
              <w:right w:val="single" w:sz="2" w:space="0" w:color="auto"/>
            </w:tcBorders>
            <w:hideMark/>
          </w:tcPr>
          <w:p w:rsidR="00677508" w:rsidRDefault="005F357A" w:rsidP="00677508">
            <w:pPr>
              <w:pStyle w:val="Tabletext"/>
            </w:pPr>
            <w:hyperlink r:id="rId126" w:history="1">
              <w:r w:rsidR="00677508">
                <w:rPr>
                  <w:rStyle w:val="Hyperlink"/>
                </w:rPr>
                <w:t>[ C 306 ]</w:t>
              </w:r>
            </w:hyperlink>
          </w:p>
        </w:tc>
        <w:tc>
          <w:tcPr>
            <w:tcW w:w="744" w:type="pct"/>
            <w:tcBorders>
              <w:top w:val="single" w:sz="2" w:space="0" w:color="auto"/>
              <w:left w:val="single" w:sz="2" w:space="0" w:color="auto"/>
              <w:bottom w:val="single" w:sz="2" w:space="0" w:color="auto"/>
              <w:right w:val="single" w:sz="2" w:space="0" w:color="auto"/>
            </w:tcBorders>
            <w:noWrap/>
            <w:hideMark/>
          </w:tcPr>
          <w:p w:rsidR="00677508" w:rsidRPr="00AC1264" w:rsidRDefault="00677508" w:rsidP="00AC1264">
            <w:pPr>
              <w:pStyle w:val="Tabletext"/>
            </w:pPr>
            <w:r w:rsidRPr="00AC1264">
              <w:t>2013-07-22</w:t>
            </w:r>
          </w:p>
        </w:tc>
        <w:tc>
          <w:tcPr>
            <w:tcW w:w="1219" w:type="pct"/>
            <w:tcBorders>
              <w:top w:val="single" w:sz="2" w:space="0" w:color="auto"/>
              <w:left w:val="single" w:sz="2" w:space="0" w:color="auto"/>
              <w:bottom w:val="single" w:sz="2" w:space="0" w:color="auto"/>
              <w:right w:val="single" w:sz="2" w:space="0" w:color="auto"/>
            </w:tcBorders>
            <w:hideMark/>
          </w:tcPr>
          <w:p w:rsidR="00677508" w:rsidRPr="00250D23" w:rsidRDefault="00677508" w:rsidP="00AC1264">
            <w:pPr>
              <w:pStyle w:val="Tabletext"/>
              <w:rPr>
                <w:lang w:val="en-US"/>
              </w:rPr>
            </w:pPr>
            <w:r w:rsidRPr="00250D23">
              <w:rPr>
                <w:lang w:val="en-US"/>
              </w:rPr>
              <w:t>ITU-R Study Groups - Working Party 5D</w:t>
            </w:r>
          </w:p>
        </w:tc>
        <w:tc>
          <w:tcPr>
            <w:tcW w:w="1825" w:type="pct"/>
            <w:tcBorders>
              <w:top w:val="single" w:sz="2" w:space="0" w:color="auto"/>
              <w:left w:val="single" w:sz="2" w:space="0" w:color="auto"/>
              <w:bottom w:val="single" w:sz="2" w:space="0" w:color="auto"/>
              <w:right w:val="single" w:sz="2" w:space="0" w:color="auto"/>
            </w:tcBorders>
            <w:hideMark/>
          </w:tcPr>
          <w:p w:rsidR="00677508" w:rsidRPr="00250D23" w:rsidRDefault="00677508" w:rsidP="00AC1264">
            <w:pPr>
              <w:pStyle w:val="Tabletext"/>
              <w:rPr>
                <w:lang w:val="en-US"/>
              </w:rPr>
            </w:pPr>
            <w:r w:rsidRPr="00250D23">
              <w:rPr>
                <w:lang w:val="en-US"/>
              </w:rPr>
              <w:t>Liaison Statement from ITU-R WP5D to ITU-D Study Group 2 on the use of spectrum and radio technology low cost sustainable telecommunication infrastructure for rural communications in developing countries</w:t>
            </w:r>
          </w:p>
        </w:tc>
        <w:tc>
          <w:tcPr>
            <w:tcW w:w="680" w:type="pct"/>
            <w:tcBorders>
              <w:top w:val="single" w:sz="2" w:space="0" w:color="auto"/>
              <w:left w:val="single" w:sz="2" w:space="0" w:color="auto"/>
              <w:bottom w:val="single" w:sz="2" w:space="0" w:color="auto"/>
              <w:right w:val="single" w:sz="2" w:space="0" w:color="auto"/>
            </w:tcBorders>
            <w:hideMark/>
          </w:tcPr>
          <w:p w:rsidR="00677508" w:rsidRPr="00AC1264" w:rsidRDefault="00677508" w:rsidP="00AC1264">
            <w:pPr>
              <w:pStyle w:val="Tabletext"/>
            </w:pPr>
            <w:r w:rsidRPr="00AC1264">
              <w:t xml:space="preserve">RES.9, </w:t>
            </w:r>
            <w:r w:rsidRPr="00AC1264">
              <w:br/>
              <w:t>Q10-3/2, Q09-3/2, LS</w:t>
            </w:r>
          </w:p>
        </w:tc>
      </w:tr>
      <w:tr w:rsidR="00677508" w:rsidRPr="00AC1264" w:rsidTr="00AC1264">
        <w:trPr>
          <w:jc w:val="center"/>
        </w:trPr>
        <w:tc>
          <w:tcPr>
            <w:tcW w:w="532" w:type="pct"/>
            <w:tcBorders>
              <w:top w:val="single" w:sz="2" w:space="0" w:color="auto"/>
              <w:left w:val="single" w:sz="2" w:space="0" w:color="auto"/>
              <w:bottom w:val="single" w:sz="2" w:space="0" w:color="auto"/>
              <w:right w:val="single" w:sz="2" w:space="0" w:color="auto"/>
            </w:tcBorders>
            <w:shd w:val="clear" w:color="auto" w:fill="E8F8FD"/>
            <w:hideMark/>
          </w:tcPr>
          <w:p w:rsidR="00677508" w:rsidRDefault="005F357A" w:rsidP="00677508">
            <w:pPr>
              <w:pStyle w:val="Tabletext"/>
            </w:pPr>
            <w:hyperlink r:id="rId127" w:history="1">
              <w:r w:rsidR="00677508">
                <w:rPr>
                  <w:rStyle w:val="Hyperlink"/>
                </w:rPr>
                <w:t>[ C 294 ]</w:t>
              </w:r>
            </w:hyperlink>
          </w:p>
        </w:tc>
        <w:tc>
          <w:tcPr>
            <w:tcW w:w="744" w:type="pct"/>
            <w:tcBorders>
              <w:top w:val="single" w:sz="2" w:space="0" w:color="auto"/>
              <w:left w:val="single" w:sz="2" w:space="0" w:color="auto"/>
              <w:bottom w:val="single" w:sz="2" w:space="0" w:color="auto"/>
              <w:right w:val="single" w:sz="2" w:space="0" w:color="auto"/>
            </w:tcBorders>
            <w:shd w:val="clear" w:color="auto" w:fill="E8F8FD"/>
            <w:noWrap/>
            <w:hideMark/>
          </w:tcPr>
          <w:p w:rsidR="00677508" w:rsidRPr="00AC1264" w:rsidRDefault="00677508" w:rsidP="00AC1264">
            <w:pPr>
              <w:pStyle w:val="Tabletext"/>
            </w:pPr>
            <w:r w:rsidRPr="00AC1264">
              <w:t>2013-07-12</w:t>
            </w:r>
          </w:p>
        </w:tc>
        <w:tc>
          <w:tcPr>
            <w:tcW w:w="1219"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AC1264" w:rsidRDefault="00677508" w:rsidP="00AC1264">
            <w:pPr>
              <w:pStyle w:val="Tabletext"/>
            </w:pPr>
            <w:r w:rsidRPr="00AC1264">
              <w:t>Egypt (Arab Republic of)</w:t>
            </w:r>
          </w:p>
        </w:tc>
        <w:tc>
          <w:tcPr>
            <w:tcW w:w="1825"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AC1264" w:rsidRDefault="00677508" w:rsidP="00AC1264">
            <w:pPr>
              <w:pStyle w:val="Tabletext"/>
            </w:pPr>
            <w:r w:rsidRPr="00AC1264">
              <w:t>Case Study: 3G Auction</w:t>
            </w:r>
          </w:p>
        </w:tc>
        <w:tc>
          <w:tcPr>
            <w:tcW w:w="680"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AC1264" w:rsidRDefault="00677508" w:rsidP="00AC1264">
            <w:pPr>
              <w:pStyle w:val="Tabletext"/>
            </w:pPr>
            <w:r w:rsidRPr="00AC1264">
              <w:t>RES.9</w:t>
            </w:r>
          </w:p>
        </w:tc>
      </w:tr>
      <w:tr w:rsidR="00677508" w:rsidRPr="00AC1264" w:rsidTr="00AC1264">
        <w:trPr>
          <w:jc w:val="center"/>
        </w:trPr>
        <w:tc>
          <w:tcPr>
            <w:tcW w:w="532" w:type="pct"/>
            <w:tcBorders>
              <w:top w:val="single" w:sz="2" w:space="0" w:color="auto"/>
              <w:left w:val="single" w:sz="2" w:space="0" w:color="auto"/>
              <w:bottom w:val="single" w:sz="2" w:space="0" w:color="auto"/>
              <w:right w:val="single" w:sz="2" w:space="0" w:color="auto"/>
            </w:tcBorders>
            <w:hideMark/>
          </w:tcPr>
          <w:p w:rsidR="00677508" w:rsidRDefault="005F357A" w:rsidP="00677508">
            <w:pPr>
              <w:pStyle w:val="Tabletext"/>
            </w:pPr>
            <w:hyperlink r:id="rId128" w:history="1">
              <w:r w:rsidR="00677508">
                <w:rPr>
                  <w:rStyle w:val="Hyperlink"/>
                </w:rPr>
                <w:t>[ C 279 ]</w:t>
              </w:r>
            </w:hyperlink>
          </w:p>
          <w:p w:rsidR="00677508" w:rsidRDefault="00677508" w:rsidP="00677508">
            <w:pPr>
              <w:pStyle w:val="Tabletext"/>
            </w:pPr>
            <w:r>
              <w:t>+Ann.1</w:t>
            </w:r>
          </w:p>
        </w:tc>
        <w:tc>
          <w:tcPr>
            <w:tcW w:w="744" w:type="pct"/>
            <w:tcBorders>
              <w:top w:val="single" w:sz="2" w:space="0" w:color="auto"/>
              <w:left w:val="single" w:sz="2" w:space="0" w:color="auto"/>
              <w:bottom w:val="single" w:sz="2" w:space="0" w:color="auto"/>
              <w:right w:val="single" w:sz="2" w:space="0" w:color="auto"/>
            </w:tcBorders>
            <w:noWrap/>
            <w:hideMark/>
          </w:tcPr>
          <w:p w:rsidR="00677508" w:rsidRPr="00AC1264" w:rsidRDefault="00677508" w:rsidP="00AC1264">
            <w:pPr>
              <w:pStyle w:val="Tabletext"/>
            </w:pPr>
            <w:r w:rsidRPr="00AC1264">
              <w:t>2013-07-12</w:t>
            </w:r>
          </w:p>
        </w:tc>
        <w:tc>
          <w:tcPr>
            <w:tcW w:w="1219" w:type="pct"/>
            <w:tcBorders>
              <w:top w:val="single" w:sz="2" w:space="0" w:color="auto"/>
              <w:left w:val="single" w:sz="2" w:space="0" w:color="auto"/>
              <w:bottom w:val="single" w:sz="2" w:space="0" w:color="auto"/>
              <w:right w:val="single" w:sz="2" w:space="0" w:color="auto"/>
            </w:tcBorders>
            <w:hideMark/>
          </w:tcPr>
          <w:p w:rsidR="00677508" w:rsidRPr="00250D23" w:rsidRDefault="00677508" w:rsidP="00AC1264">
            <w:pPr>
              <w:pStyle w:val="Tabletext"/>
              <w:rPr>
                <w:lang w:val="en-US"/>
              </w:rPr>
            </w:pPr>
            <w:r w:rsidRPr="00250D23">
              <w:rPr>
                <w:lang w:val="en-US"/>
              </w:rPr>
              <w:t>ITU-D Co-Chairman, Joint Group on Resolution 9, THALES Communications</w:t>
            </w:r>
          </w:p>
        </w:tc>
        <w:tc>
          <w:tcPr>
            <w:tcW w:w="1825" w:type="pct"/>
            <w:tcBorders>
              <w:top w:val="single" w:sz="2" w:space="0" w:color="auto"/>
              <w:left w:val="single" w:sz="2" w:space="0" w:color="auto"/>
              <w:bottom w:val="single" w:sz="2" w:space="0" w:color="auto"/>
              <w:right w:val="single" w:sz="2" w:space="0" w:color="auto"/>
            </w:tcBorders>
            <w:hideMark/>
          </w:tcPr>
          <w:p w:rsidR="00677508" w:rsidRPr="00250D23" w:rsidRDefault="00677508" w:rsidP="00AC1264">
            <w:pPr>
              <w:pStyle w:val="Tabletext"/>
              <w:rPr>
                <w:lang w:val="en-US"/>
              </w:rPr>
            </w:pPr>
            <w:r w:rsidRPr="00250D23">
              <w:rPr>
                <w:lang w:val="en-US"/>
              </w:rPr>
              <w:t>Draft Report on WTDC Resolution 9 (Participation of countries, particularly developing countries, in spectrum management) (Rev. Hyderabad 2010)</w:t>
            </w:r>
          </w:p>
        </w:tc>
        <w:tc>
          <w:tcPr>
            <w:tcW w:w="680" w:type="pct"/>
            <w:tcBorders>
              <w:top w:val="single" w:sz="2" w:space="0" w:color="auto"/>
              <w:left w:val="single" w:sz="2" w:space="0" w:color="auto"/>
              <w:bottom w:val="single" w:sz="2" w:space="0" w:color="auto"/>
              <w:right w:val="single" w:sz="2" w:space="0" w:color="auto"/>
            </w:tcBorders>
            <w:hideMark/>
          </w:tcPr>
          <w:p w:rsidR="00677508" w:rsidRPr="00AC1264" w:rsidRDefault="00677508" w:rsidP="00AC1264">
            <w:pPr>
              <w:pStyle w:val="Tabletext"/>
            </w:pPr>
            <w:r w:rsidRPr="00AC1264">
              <w:t>RES.9</w:t>
            </w:r>
          </w:p>
        </w:tc>
      </w:tr>
      <w:tr w:rsidR="00677508" w:rsidRPr="00AC1264" w:rsidTr="00AC1264">
        <w:trPr>
          <w:jc w:val="center"/>
        </w:trPr>
        <w:tc>
          <w:tcPr>
            <w:tcW w:w="532" w:type="pct"/>
            <w:tcBorders>
              <w:top w:val="single" w:sz="2" w:space="0" w:color="auto"/>
              <w:left w:val="single" w:sz="2" w:space="0" w:color="auto"/>
              <w:bottom w:val="single" w:sz="2" w:space="0" w:color="auto"/>
              <w:right w:val="single" w:sz="2" w:space="0" w:color="auto"/>
            </w:tcBorders>
            <w:shd w:val="clear" w:color="auto" w:fill="E8F8FD"/>
            <w:hideMark/>
          </w:tcPr>
          <w:p w:rsidR="00677508" w:rsidRDefault="005F357A" w:rsidP="00677508">
            <w:pPr>
              <w:pStyle w:val="Tabletext"/>
            </w:pPr>
            <w:hyperlink r:id="rId129" w:history="1">
              <w:r w:rsidR="00677508">
                <w:rPr>
                  <w:rStyle w:val="Hyperlink"/>
                </w:rPr>
                <w:t>[ C 267 ]</w:t>
              </w:r>
            </w:hyperlink>
          </w:p>
        </w:tc>
        <w:tc>
          <w:tcPr>
            <w:tcW w:w="744" w:type="pct"/>
            <w:tcBorders>
              <w:top w:val="single" w:sz="2" w:space="0" w:color="auto"/>
              <w:left w:val="single" w:sz="2" w:space="0" w:color="auto"/>
              <w:bottom w:val="single" w:sz="2" w:space="0" w:color="auto"/>
              <w:right w:val="single" w:sz="2" w:space="0" w:color="auto"/>
            </w:tcBorders>
            <w:shd w:val="clear" w:color="auto" w:fill="E8F8FD"/>
            <w:noWrap/>
            <w:hideMark/>
          </w:tcPr>
          <w:p w:rsidR="00677508" w:rsidRPr="00AC1264" w:rsidRDefault="00677508" w:rsidP="00AC1264">
            <w:pPr>
              <w:pStyle w:val="Tabletext"/>
            </w:pPr>
            <w:r w:rsidRPr="00AC1264">
              <w:t>2013-06-05</w:t>
            </w:r>
          </w:p>
        </w:tc>
        <w:tc>
          <w:tcPr>
            <w:tcW w:w="1219"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250D23" w:rsidRDefault="00677508" w:rsidP="00AC1264">
            <w:pPr>
              <w:pStyle w:val="Tabletext"/>
              <w:rPr>
                <w:lang w:val="en-US"/>
              </w:rPr>
            </w:pPr>
            <w:r w:rsidRPr="00250D23">
              <w:rPr>
                <w:lang w:val="en-US"/>
              </w:rPr>
              <w:t>ITU-R Study Groups - Working Party 5A</w:t>
            </w:r>
          </w:p>
        </w:tc>
        <w:tc>
          <w:tcPr>
            <w:tcW w:w="1825"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250D23" w:rsidRDefault="00677508" w:rsidP="00AC1264">
            <w:pPr>
              <w:pStyle w:val="Tabletext"/>
              <w:rPr>
                <w:lang w:val="en-US"/>
              </w:rPr>
            </w:pPr>
            <w:r w:rsidRPr="00250D23">
              <w:rPr>
                <w:lang w:val="en-US"/>
              </w:rPr>
              <w:t>Liaison Statement from ITU-R WP5A to ITU-D SG 2 on the Use of spectrum and radio technology low cost sustainable telecommunication infrastructure for rural communications in developing countries</w:t>
            </w:r>
          </w:p>
        </w:tc>
        <w:tc>
          <w:tcPr>
            <w:tcW w:w="680" w:type="pct"/>
            <w:tcBorders>
              <w:top w:val="single" w:sz="2" w:space="0" w:color="auto"/>
              <w:left w:val="single" w:sz="2" w:space="0" w:color="auto"/>
              <w:bottom w:val="single" w:sz="2" w:space="0" w:color="auto"/>
              <w:right w:val="single" w:sz="2" w:space="0" w:color="auto"/>
            </w:tcBorders>
            <w:shd w:val="clear" w:color="auto" w:fill="E8F8FD"/>
            <w:hideMark/>
          </w:tcPr>
          <w:p w:rsidR="00677508" w:rsidRPr="00AC1264" w:rsidRDefault="00677508" w:rsidP="00AC1264">
            <w:pPr>
              <w:pStyle w:val="Tabletext"/>
            </w:pPr>
            <w:r w:rsidRPr="00AC1264">
              <w:t xml:space="preserve">RES.9, </w:t>
            </w:r>
            <w:r w:rsidRPr="00AC1264">
              <w:br/>
              <w:t>Q10-3/2, LS</w:t>
            </w:r>
          </w:p>
        </w:tc>
      </w:tr>
      <w:tr w:rsidR="00677508" w:rsidRPr="00AC1264" w:rsidTr="00AC1264">
        <w:trPr>
          <w:jc w:val="center"/>
        </w:trPr>
        <w:tc>
          <w:tcPr>
            <w:tcW w:w="532" w:type="pct"/>
            <w:tcBorders>
              <w:top w:val="single" w:sz="2" w:space="0" w:color="auto"/>
              <w:left w:val="single" w:sz="2" w:space="0" w:color="auto"/>
              <w:bottom w:val="single" w:sz="2" w:space="0" w:color="auto"/>
              <w:right w:val="single" w:sz="2" w:space="0" w:color="auto"/>
            </w:tcBorders>
            <w:hideMark/>
          </w:tcPr>
          <w:p w:rsidR="00677508" w:rsidRDefault="005F357A" w:rsidP="00677508">
            <w:pPr>
              <w:pStyle w:val="Tabletext"/>
            </w:pPr>
            <w:hyperlink r:id="rId130" w:history="1">
              <w:r w:rsidR="00677508">
                <w:rPr>
                  <w:rStyle w:val="Hyperlink"/>
                </w:rPr>
                <w:t>[ C 264 ]</w:t>
              </w:r>
            </w:hyperlink>
          </w:p>
        </w:tc>
        <w:tc>
          <w:tcPr>
            <w:tcW w:w="744" w:type="pct"/>
            <w:tcBorders>
              <w:top w:val="single" w:sz="2" w:space="0" w:color="auto"/>
              <w:left w:val="single" w:sz="2" w:space="0" w:color="auto"/>
              <w:bottom w:val="single" w:sz="2" w:space="0" w:color="auto"/>
              <w:right w:val="single" w:sz="2" w:space="0" w:color="auto"/>
            </w:tcBorders>
            <w:noWrap/>
            <w:hideMark/>
          </w:tcPr>
          <w:p w:rsidR="00677508" w:rsidRPr="00AC1264" w:rsidRDefault="00677508" w:rsidP="00AC1264">
            <w:pPr>
              <w:pStyle w:val="Tabletext"/>
            </w:pPr>
            <w:r w:rsidRPr="00AC1264">
              <w:t>2013-09-16</w:t>
            </w:r>
          </w:p>
        </w:tc>
        <w:tc>
          <w:tcPr>
            <w:tcW w:w="1219" w:type="pct"/>
            <w:tcBorders>
              <w:top w:val="single" w:sz="2" w:space="0" w:color="auto"/>
              <w:left w:val="single" w:sz="2" w:space="0" w:color="auto"/>
              <w:bottom w:val="single" w:sz="2" w:space="0" w:color="auto"/>
              <w:right w:val="single" w:sz="2" w:space="0" w:color="auto"/>
            </w:tcBorders>
            <w:hideMark/>
          </w:tcPr>
          <w:p w:rsidR="00677508" w:rsidRPr="00250D23" w:rsidRDefault="00677508" w:rsidP="00AC1264">
            <w:pPr>
              <w:pStyle w:val="Tabletext"/>
              <w:rPr>
                <w:lang w:val="en-US"/>
              </w:rPr>
            </w:pPr>
            <w:r w:rsidRPr="00250D23">
              <w:rPr>
                <w:lang w:val="en-US"/>
              </w:rPr>
              <w:t>ITU-D Co-Chairman, Joint Group on Resolution 9</w:t>
            </w:r>
          </w:p>
        </w:tc>
        <w:tc>
          <w:tcPr>
            <w:tcW w:w="1825" w:type="pct"/>
            <w:tcBorders>
              <w:top w:val="single" w:sz="2" w:space="0" w:color="auto"/>
              <w:left w:val="single" w:sz="2" w:space="0" w:color="auto"/>
              <w:bottom w:val="single" w:sz="2" w:space="0" w:color="auto"/>
              <w:right w:val="single" w:sz="2" w:space="0" w:color="auto"/>
            </w:tcBorders>
            <w:hideMark/>
          </w:tcPr>
          <w:p w:rsidR="00677508" w:rsidRPr="00250D23" w:rsidRDefault="00677508" w:rsidP="00AC1264">
            <w:pPr>
              <w:pStyle w:val="Tabletext"/>
              <w:rPr>
                <w:lang w:val="en-US"/>
              </w:rPr>
            </w:pPr>
            <w:r w:rsidRPr="00250D23">
              <w:rPr>
                <w:lang w:val="en-US"/>
              </w:rPr>
              <w:t>Report of the ITU-D/ITU-R Joint Group Meeting for Resolution 9 (Rev. Hyderabad, 2010), Geneva, 13 June 2013</w:t>
            </w:r>
          </w:p>
        </w:tc>
        <w:tc>
          <w:tcPr>
            <w:tcW w:w="680" w:type="pct"/>
            <w:tcBorders>
              <w:top w:val="single" w:sz="2" w:space="0" w:color="auto"/>
              <w:left w:val="single" w:sz="2" w:space="0" w:color="auto"/>
              <w:bottom w:val="single" w:sz="2" w:space="0" w:color="auto"/>
              <w:right w:val="single" w:sz="2" w:space="0" w:color="auto"/>
            </w:tcBorders>
            <w:hideMark/>
          </w:tcPr>
          <w:p w:rsidR="00677508" w:rsidRPr="00AC1264" w:rsidRDefault="00677508" w:rsidP="00AC1264">
            <w:pPr>
              <w:pStyle w:val="Tabletext"/>
            </w:pPr>
            <w:r w:rsidRPr="00AC1264">
              <w:t>RES.9</w:t>
            </w:r>
          </w:p>
        </w:tc>
      </w:tr>
    </w:tbl>
    <w:p w:rsidR="00E326D4" w:rsidRDefault="00E326D4" w:rsidP="00E326D4">
      <w:pPr>
        <w:rPr>
          <w:b/>
          <w:bCs/>
          <w:szCs w:val="21"/>
          <w:lang w:val="en-US"/>
        </w:rPr>
      </w:pPr>
    </w:p>
    <w:p w:rsidR="00AC1264" w:rsidRDefault="00AC1264">
      <w:pPr>
        <w:spacing w:before="0"/>
        <w:jc w:val="left"/>
        <w:rPr>
          <w:rFonts w:eastAsia="Times New Roman" w:cs="Helvetica"/>
          <w:b/>
          <w:bCs/>
          <w:color w:val="005173"/>
          <w:sz w:val="24"/>
          <w:szCs w:val="32"/>
          <w:lang w:val="en-US"/>
        </w:rPr>
      </w:pPr>
      <w:r>
        <w:br w:type="page"/>
      </w:r>
    </w:p>
    <w:p w:rsidR="00E326D4" w:rsidRDefault="00E326D4" w:rsidP="00AC1264">
      <w:pPr>
        <w:pStyle w:val="Heading2"/>
      </w:pPr>
      <w:bookmarkStart w:id="82" w:name="_Toc380408351"/>
      <w:r w:rsidRPr="00E326D4">
        <w:lastRenderedPageBreak/>
        <w:t>6.3</w:t>
      </w:r>
      <w:r>
        <w:tab/>
      </w:r>
      <w:r w:rsidRPr="00AC1264">
        <w:t>Meeting</w:t>
      </w:r>
      <w:r w:rsidRPr="00E326D4">
        <w:t xml:space="preserve"> Report</w:t>
      </w:r>
      <w:bookmarkEnd w:id="82"/>
    </w:p>
    <w:p w:rsidR="00E326D4" w:rsidRPr="00E326D4" w:rsidRDefault="00E326D4" w:rsidP="00AC1264">
      <w:pPr>
        <w:rPr>
          <w:lang w:val="en-US"/>
        </w:rPr>
      </w:pP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36"/>
        <w:gridCol w:w="1341"/>
        <w:gridCol w:w="2371"/>
        <w:gridCol w:w="3192"/>
        <w:gridCol w:w="1232"/>
      </w:tblGrid>
      <w:tr w:rsidR="00E326D4" w:rsidRPr="00E326D4" w:rsidTr="00AA460D">
        <w:trPr>
          <w:tblHeader/>
          <w:jc w:val="center"/>
        </w:trPr>
        <w:tc>
          <w:tcPr>
            <w:tcW w:w="516"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AC1264">
            <w:pPr>
              <w:pStyle w:val="Tablehead"/>
            </w:pPr>
            <w:r w:rsidRPr="00E326D4">
              <w:t>Web</w:t>
            </w:r>
          </w:p>
        </w:tc>
        <w:tc>
          <w:tcPr>
            <w:tcW w:w="739"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AC1264">
            <w:pPr>
              <w:pStyle w:val="Tablehead"/>
            </w:pPr>
            <w:r w:rsidRPr="00E326D4">
              <w:t>Received</w:t>
            </w:r>
          </w:p>
        </w:tc>
        <w:tc>
          <w:tcPr>
            <w:tcW w:w="1307"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AC1264">
            <w:pPr>
              <w:pStyle w:val="Tablehead"/>
            </w:pPr>
            <w:r w:rsidRPr="00E326D4">
              <w:t>Source</w:t>
            </w:r>
          </w:p>
        </w:tc>
        <w:tc>
          <w:tcPr>
            <w:tcW w:w="1759"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AC1264">
            <w:pPr>
              <w:pStyle w:val="Tablehead"/>
            </w:pPr>
            <w:r w:rsidRPr="00E326D4">
              <w:t>Title</w:t>
            </w:r>
          </w:p>
        </w:tc>
        <w:tc>
          <w:tcPr>
            <w:tcW w:w="680" w:type="pct"/>
            <w:tcBorders>
              <w:top w:val="single" w:sz="2" w:space="0" w:color="auto"/>
              <w:left w:val="single" w:sz="2" w:space="0" w:color="auto"/>
              <w:bottom w:val="single" w:sz="2" w:space="0" w:color="auto"/>
              <w:right w:val="single" w:sz="2" w:space="0" w:color="auto"/>
            </w:tcBorders>
            <w:shd w:val="clear" w:color="auto" w:fill="005173"/>
            <w:noWrap/>
            <w:hideMark/>
          </w:tcPr>
          <w:p w:rsidR="00E326D4" w:rsidRPr="00E326D4" w:rsidRDefault="00E326D4" w:rsidP="00AC1264">
            <w:pPr>
              <w:pStyle w:val="Tablehead"/>
            </w:pPr>
            <w:r w:rsidRPr="00E326D4">
              <w:t>Questions</w:t>
            </w:r>
          </w:p>
        </w:tc>
      </w:tr>
      <w:tr w:rsidR="00E326D4" w:rsidRPr="00E326D4" w:rsidTr="00AA460D">
        <w:trPr>
          <w:jc w:val="center"/>
        </w:trPr>
        <w:tc>
          <w:tcPr>
            <w:tcW w:w="516"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AC1264" w:rsidRDefault="005F357A" w:rsidP="00AC1264">
            <w:pPr>
              <w:pStyle w:val="Tabletext"/>
            </w:pPr>
            <w:hyperlink r:id="rId131" w:history="1">
              <w:r w:rsidR="009C579B">
                <w:rPr>
                  <w:rStyle w:val="Hyperlink"/>
                </w:rPr>
                <w:t>[ R 42 ]</w:t>
              </w:r>
            </w:hyperlink>
          </w:p>
        </w:tc>
        <w:tc>
          <w:tcPr>
            <w:tcW w:w="739" w:type="pct"/>
            <w:tcBorders>
              <w:top w:val="single" w:sz="2" w:space="0" w:color="auto"/>
              <w:left w:val="single" w:sz="2" w:space="0" w:color="auto"/>
              <w:bottom w:val="single" w:sz="2" w:space="0" w:color="auto"/>
              <w:right w:val="single" w:sz="2" w:space="0" w:color="auto"/>
            </w:tcBorders>
            <w:shd w:val="clear" w:color="auto" w:fill="E8F8FD"/>
            <w:noWrap/>
            <w:hideMark/>
          </w:tcPr>
          <w:p w:rsidR="00E326D4" w:rsidRPr="00E326D4" w:rsidRDefault="00E326D4" w:rsidP="00AC1264">
            <w:pPr>
              <w:pStyle w:val="Tabletext"/>
              <w:rPr>
                <w:bCs/>
                <w:szCs w:val="21"/>
                <w:lang w:val="en-US"/>
              </w:rPr>
            </w:pPr>
            <w:r w:rsidRPr="00E326D4">
              <w:rPr>
                <w:bCs/>
                <w:szCs w:val="21"/>
              </w:rPr>
              <w:t>2013-09-16</w:t>
            </w:r>
          </w:p>
        </w:tc>
        <w:tc>
          <w:tcPr>
            <w:tcW w:w="1307"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E326D4" w:rsidRDefault="00E326D4" w:rsidP="00AC1264">
            <w:pPr>
              <w:pStyle w:val="Tabletext"/>
              <w:rPr>
                <w:bCs/>
                <w:szCs w:val="21"/>
                <w:lang w:val="en-US"/>
              </w:rPr>
            </w:pPr>
            <w:r w:rsidRPr="00E326D4">
              <w:rPr>
                <w:bCs/>
                <w:szCs w:val="21"/>
                <w:lang w:val="en-US"/>
              </w:rPr>
              <w:t>ITU-D Co-Chairman of the Joint Group on Resolution 9</w:t>
            </w:r>
          </w:p>
        </w:tc>
        <w:tc>
          <w:tcPr>
            <w:tcW w:w="1759"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E326D4" w:rsidRDefault="00E326D4" w:rsidP="00AC1264">
            <w:pPr>
              <w:pStyle w:val="Tabletext"/>
              <w:rPr>
                <w:bCs/>
                <w:szCs w:val="21"/>
                <w:lang w:val="en-US"/>
              </w:rPr>
            </w:pPr>
            <w:r w:rsidRPr="00E326D4">
              <w:rPr>
                <w:bCs/>
                <w:szCs w:val="21"/>
                <w:lang w:val="en-US"/>
              </w:rPr>
              <w:t>Report of the ITU-D/ITU-R Joint Group Meeting for Resolution 9 (Rev. Hyderabad, 2010), (Geneva, Monday, 16 September 2013, 14:30-15:45 hours)</w:t>
            </w:r>
          </w:p>
        </w:tc>
        <w:tc>
          <w:tcPr>
            <w:tcW w:w="680" w:type="pct"/>
            <w:tcBorders>
              <w:top w:val="single" w:sz="2" w:space="0" w:color="auto"/>
              <w:left w:val="single" w:sz="2" w:space="0" w:color="auto"/>
              <w:bottom w:val="single" w:sz="2" w:space="0" w:color="auto"/>
              <w:right w:val="single" w:sz="2" w:space="0" w:color="auto"/>
            </w:tcBorders>
            <w:shd w:val="clear" w:color="auto" w:fill="E8F8FD"/>
            <w:hideMark/>
          </w:tcPr>
          <w:p w:rsidR="00E326D4" w:rsidRPr="00E326D4" w:rsidRDefault="00E326D4" w:rsidP="00AC1264">
            <w:pPr>
              <w:pStyle w:val="Tabletext"/>
              <w:rPr>
                <w:bCs/>
                <w:szCs w:val="21"/>
              </w:rPr>
            </w:pPr>
            <w:r w:rsidRPr="00E326D4">
              <w:rPr>
                <w:bCs/>
                <w:szCs w:val="21"/>
              </w:rPr>
              <w:t>RES. 9</w:t>
            </w:r>
          </w:p>
        </w:tc>
      </w:tr>
    </w:tbl>
    <w:p w:rsidR="00AA460D" w:rsidRDefault="00AA460D" w:rsidP="00AA460D"/>
    <w:p w:rsidR="00E326D4" w:rsidRDefault="00E326D4" w:rsidP="00E326D4">
      <w:pPr>
        <w:pStyle w:val="Heading1"/>
      </w:pPr>
      <w:bookmarkStart w:id="83" w:name="_Toc380408352"/>
      <w:r w:rsidRPr="00E326D4">
        <w:t>VII</w:t>
      </w:r>
      <w:r>
        <w:tab/>
      </w:r>
      <w:r w:rsidRPr="00E326D4">
        <w:t>Resolution 9 Reports from the previous Study Period (2006-2010)</w:t>
      </w:r>
      <w:bookmarkEnd w:id="83"/>
      <w:r w:rsidRPr="00E326D4">
        <w:t xml:space="preserve"> </w:t>
      </w:r>
    </w:p>
    <w:p w:rsidR="00E326D4" w:rsidRPr="00E326D4" w:rsidRDefault="00E326D4" w:rsidP="00AA460D">
      <w:pPr>
        <w:rPr>
          <w:lang w:val="en-US"/>
        </w:rPr>
      </w:pP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1328"/>
        <w:gridCol w:w="1321"/>
        <w:gridCol w:w="6423"/>
      </w:tblGrid>
      <w:tr w:rsidR="00E326D4" w:rsidRPr="00E326D4" w:rsidTr="009C579B">
        <w:trPr>
          <w:tblHeader/>
          <w:jc w:val="center"/>
        </w:trPr>
        <w:tc>
          <w:tcPr>
            <w:tcW w:w="732" w:type="pct"/>
            <w:tcBorders>
              <w:bottom w:val="single" w:sz="2" w:space="0" w:color="auto"/>
            </w:tcBorders>
            <w:shd w:val="clear" w:color="auto" w:fill="005173"/>
            <w:noWrap/>
          </w:tcPr>
          <w:p w:rsidR="00E326D4" w:rsidRPr="00E326D4" w:rsidRDefault="00E326D4" w:rsidP="00AA460D">
            <w:pPr>
              <w:pStyle w:val="Tablehead"/>
            </w:pPr>
            <w:r w:rsidRPr="00E326D4">
              <w:t>Web</w:t>
            </w:r>
          </w:p>
        </w:tc>
        <w:tc>
          <w:tcPr>
            <w:tcW w:w="0" w:type="auto"/>
            <w:tcBorders>
              <w:bottom w:val="single" w:sz="2" w:space="0" w:color="auto"/>
            </w:tcBorders>
            <w:shd w:val="clear" w:color="auto" w:fill="005173"/>
            <w:noWrap/>
          </w:tcPr>
          <w:p w:rsidR="00E326D4" w:rsidRPr="00E326D4" w:rsidRDefault="00E326D4" w:rsidP="00AA460D">
            <w:pPr>
              <w:pStyle w:val="Tablehead"/>
            </w:pPr>
            <w:r w:rsidRPr="00E326D4">
              <w:t>Finalized</w:t>
            </w:r>
          </w:p>
        </w:tc>
        <w:tc>
          <w:tcPr>
            <w:tcW w:w="3540" w:type="pct"/>
            <w:tcBorders>
              <w:bottom w:val="single" w:sz="2" w:space="0" w:color="auto"/>
            </w:tcBorders>
            <w:shd w:val="clear" w:color="auto" w:fill="005173"/>
            <w:noWrap/>
          </w:tcPr>
          <w:p w:rsidR="00E326D4" w:rsidRPr="00E326D4" w:rsidRDefault="00E326D4" w:rsidP="00AA460D">
            <w:pPr>
              <w:pStyle w:val="Tablehead"/>
            </w:pPr>
            <w:r w:rsidRPr="00E326D4">
              <w:t>Title</w:t>
            </w:r>
          </w:p>
        </w:tc>
      </w:tr>
      <w:tr w:rsidR="009C579B" w:rsidRPr="009B4A23" w:rsidTr="009C579B">
        <w:trPr>
          <w:jc w:val="center"/>
        </w:trPr>
        <w:tc>
          <w:tcPr>
            <w:tcW w:w="732" w:type="pct"/>
            <w:shd w:val="clear" w:color="auto" w:fill="E8F8FD"/>
          </w:tcPr>
          <w:p w:rsidR="009C579B" w:rsidRPr="006067C0" w:rsidRDefault="005F357A" w:rsidP="009C579B">
            <w:pPr>
              <w:pStyle w:val="Tabletext"/>
              <w:rPr>
                <w:rStyle w:val="Hyperlink"/>
                <w:sz w:val="18"/>
                <w:szCs w:val="24"/>
                <w:lang w:val="en-US"/>
              </w:rPr>
            </w:pPr>
            <w:hyperlink r:id="rId132" w:history="1">
              <w:r w:rsidR="009C579B" w:rsidRPr="006067C0">
                <w:rPr>
                  <w:rStyle w:val="Hyperlink"/>
                  <w:sz w:val="18"/>
                  <w:szCs w:val="24"/>
                  <w:lang w:val="en-US"/>
                </w:rPr>
                <w:t>Report</w:t>
              </w:r>
            </w:hyperlink>
          </w:p>
        </w:tc>
        <w:tc>
          <w:tcPr>
            <w:tcW w:w="728" w:type="pct"/>
            <w:shd w:val="clear" w:color="auto" w:fill="E8F8FD"/>
            <w:noWrap/>
          </w:tcPr>
          <w:p w:rsidR="009C579B" w:rsidRPr="00E326D4" w:rsidRDefault="009C579B" w:rsidP="00AA460D">
            <w:pPr>
              <w:pStyle w:val="Tabletext"/>
              <w:rPr>
                <w:bCs/>
                <w:szCs w:val="21"/>
                <w:lang w:val="en-US"/>
              </w:rPr>
            </w:pPr>
            <w:r w:rsidRPr="00E326D4">
              <w:rPr>
                <w:bCs/>
                <w:szCs w:val="21"/>
                <w:lang w:val="en-US"/>
              </w:rPr>
              <w:t>2010</w:t>
            </w:r>
          </w:p>
        </w:tc>
        <w:tc>
          <w:tcPr>
            <w:tcW w:w="3540" w:type="pct"/>
            <w:shd w:val="clear" w:color="auto" w:fill="E8F8FD"/>
          </w:tcPr>
          <w:p w:rsidR="009C579B" w:rsidRPr="00E326D4" w:rsidRDefault="009C579B" w:rsidP="00AA460D">
            <w:pPr>
              <w:pStyle w:val="Tabletext"/>
              <w:rPr>
                <w:bCs/>
                <w:szCs w:val="21"/>
                <w:lang w:val="en-US"/>
              </w:rPr>
            </w:pPr>
            <w:r w:rsidRPr="00E326D4">
              <w:rPr>
                <w:bCs/>
                <w:szCs w:val="21"/>
                <w:lang w:val="en-US"/>
              </w:rPr>
              <w:t>Report on Resolution 9 (Rev. Doha, 2006): Participation of countries, particularly developing countries in spectrum management</w:t>
            </w:r>
          </w:p>
        </w:tc>
      </w:tr>
      <w:tr w:rsidR="009C579B" w:rsidRPr="009B4A23" w:rsidTr="009C579B">
        <w:trPr>
          <w:jc w:val="center"/>
        </w:trPr>
        <w:tc>
          <w:tcPr>
            <w:tcW w:w="732" w:type="pct"/>
          </w:tcPr>
          <w:p w:rsidR="009C579B" w:rsidRPr="006067C0" w:rsidRDefault="005F357A" w:rsidP="009C579B">
            <w:pPr>
              <w:pStyle w:val="Tabletext"/>
              <w:rPr>
                <w:rStyle w:val="Hyperlink"/>
                <w:sz w:val="18"/>
                <w:szCs w:val="24"/>
                <w:lang w:val="en-US"/>
              </w:rPr>
            </w:pPr>
            <w:hyperlink r:id="rId133" w:history="1">
              <w:r w:rsidR="009C579B" w:rsidRPr="006067C0">
                <w:rPr>
                  <w:rStyle w:val="Hyperlink"/>
                  <w:sz w:val="18"/>
                  <w:szCs w:val="24"/>
                  <w:lang w:val="en-US"/>
                </w:rPr>
                <w:t>Guidelines</w:t>
              </w:r>
            </w:hyperlink>
          </w:p>
        </w:tc>
        <w:tc>
          <w:tcPr>
            <w:tcW w:w="728" w:type="pct"/>
            <w:noWrap/>
          </w:tcPr>
          <w:p w:rsidR="009C579B" w:rsidRPr="00E326D4" w:rsidRDefault="009C579B" w:rsidP="00AA460D">
            <w:pPr>
              <w:pStyle w:val="Tabletext"/>
              <w:rPr>
                <w:bCs/>
                <w:szCs w:val="21"/>
                <w:lang w:val="en-US"/>
              </w:rPr>
            </w:pPr>
            <w:r w:rsidRPr="00E326D4">
              <w:rPr>
                <w:bCs/>
                <w:szCs w:val="21"/>
                <w:lang w:val="en-US"/>
              </w:rPr>
              <w:t>2010</w:t>
            </w:r>
          </w:p>
        </w:tc>
        <w:tc>
          <w:tcPr>
            <w:tcW w:w="3540" w:type="pct"/>
          </w:tcPr>
          <w:p w:rsidR="009C579B" w:rsidRPr="00E326D4" w:rsidRDefault="009C579B" w:rsidP="00AA460D">
            <w:pPr>
              <w:pStyle w:val="Tabletext"/>
              <w:rPr>
                <w:bCs/>
                <w:szCs w:val="21"/>
                <w:lang w:val="en-US"/>
              </w:rPr>
            </w:pPr>
            <w:r w:rsidRPr="00E326D4">
              <w:rPr>
                <w:bCs/>
                <w:szCs w:val="21"/>
                <w:lang w:val="en-US"/>
              </w:rPr>
              <w:t>Guidelines for the establishment of a coherent system of radio-frequency usage fees (separate publication to Resolution 9 report)</w:t>
            </w:r>
          </w:p>
        </w:tc>
      </w:tr>
    </w:tbl>
    <w:p w:rsidR="00AA460D" w:rsidRPr="00250D23" w:rsidRDefault="00AA460D" w:rsidP="00AF4080">
      <w:pPr>
        <w:rPr>
          <w:szCs w:val="21"/>
          <w:lang w:val="en-US"/>
        </w:rPr>
      </w:pPr>
    </w:p>
    <w:sectPr w:rsidR="00AA460D" w:rsidRPr="00250D23" w:rsidSect="008752E7">
      <w:headerReference w:type="first" r:id="rId134"/>
      <w:footerReference w:type="first" r:id="rId135"/>
      <w:endnotePr>
        <w:numFmt w:val="decimal"/>
      </w:endnotePr>
      <w:type w:val="oddPage"/>
      <w:pgSz w:w="11909" w:h="16834" w:code="9"/>
      <w:pgMar w:top="1418" w:right="1418" w:bottom="1418" w:left="1418" w:header="720" w:footer="612" w:gutter="0"/>
      <w:pgNumType w:start="53"/>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30B6" w:rsidRPr="0034180A" w:rsidRDefault="007230B6" w:rsidP="00837668">
      <w:pPr>
        <w:pStyle w:val="Footer"/>
      </w:pPr>
    </w:p>
    <w:p w:rsidR="007230B6" w:rsidRDefault="007230B6"/>
    <w:p w:rsidR="007230B6" w:rsidRDefault="007230B6"/>
  </w:endnote>
  <w:endnote w:type="continuationSeparator" w:id="0">
    <w:p w:rsidR="007230B6" w:rsidRPr="0034180A" w:rsidRDefault="007230B6" w:rsidP="00837668">
      <w:pPr>
        <w:pStyle w:val="Footer"/>
      </w:pPr>
    </w:p>
    <w:p w:rsidR="007230B6" w:rsidRDefault="007230B6"/>
    <w:p w:rsidR="007230B6" w:rsidRDefault="007230B6"/>
  </w:endnote>
  <w:endnote w:type="continuationNotice" w:id="1">
    <w:p w:rsidR="007230B6" w:rsidRDefault="007230B6"/>
    <w:p w:rsidR="007230B6" w:rsidRDefault="007230B6"/>
    <w:p w:rsidR="007230B6" w:rsidRDefault="007230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Helvetica">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Helvetica-Narrow">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embedRegular r:id="rId1" w:subsetted="1" w:fontKey="{1EC787A0-A479-41C2-BD2A-1C6BDCF634AD}"/>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9060101010101"/>
    <w:charset w:val="86"/>
    <w:family w:val="modern"/>
    <w:notTrueType/>
    <w:pitch w:val="fixed"/>
    <w:sig w:usb0="00000001" w:usb1="080E0000" w:usb2="00000010" w:usb3="00000000" w:csb0="00040000" w:csb1="00000000"/>
  </w:font>
  <w:font w:name="Simplified Arabic">
    <w:panose1 w:val="02020603050405020304"/>
    <w:charset w:val="00"/>
    <w:family w:val="roman"/>
    <w:pitch w:val="variable"/>
    <w:sig w:usb0="00002003" w:usb1="00000000" w:usb2="00000000" w:usb3="00000000" w:csb0="00000041" w:csb1="00000000"/>
  </w:font>
  <w:font w:name="Zurich UBlkEx BT">
    <w:panose1 w:val="020B0907040502030204"/>
    <w:charset w:val="00"/>
    <w:family w:val="swiss"/>
    <w:pitch w:val="variable"/>
    <w:sig w:usb0="00000087"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embedRegular r:id="rId2" w:fontKey="{4B148636-E3A8-48F9-AB57-2977FC2FE8E7}"/>
    <w:embedBold r:id="rId3" w:fontKey="{180604C2-D7FB-43CA-A44F-60062B0514DB}"/>
    <w:embedItalic r:id="rId4" w:fontKey="{97BDE0E8-E82D-4E76-ACC1-D337A96F1147}"/>
    <w:embedBoldItalic r:id="rId5" w:fontKey="{167B28B3-28FA-47EB-BE75-8397048302F7}"/>
  </w:font>
  <w:font w:name="Arial">
    <w:panose1 w:val="020B0604020202020204"/>
    <w:charset w:val="00"/>
    <w:family w:val="swiss"/>
    <w:pitch w:val="variable"/>
    <w:sig w:usb0="E0002AFF" w:usb1="C0007843" w:usb2="00000009" w:usb3="00000000" w:csb0="000001FF" w:csb1="00000000"/>
  </w:font>
  <w:font w:name="Arial Bold">
    <w:panose1 w:val="020B0704020202020204"/>
    <w:charset w:val="00"/>
    <w:family w:val="roman"/>
    <w:notTrueType/>
    <w:pitch w:val="default"/>
  </w:font>
  <w:font w:name="Lucida Grande">
    <w:altName w:val="Times New Roman"/>
    <w:panose1 w:val="00000000000000000000"/>
    <w:charset w:val="00"/>
    <w:family w:val="auto"/>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 New Roman italic">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B2"/>
    <w:family w:val="auto"/>
    <w:pitch w:val="variable"/>
    <w:sig w:usb0="00002001" w:usb1="00000000" w:usb2="00000000" w:usb3="00000000" w:csb0="00000040" w:csb1="00000000"/>
    <w:embedItalic r:id="rId6" w:subsetted="1" w:fontKey="{512852FD-806C-4154-8306-70E5B8631F91}"/>
  </w:font>
  <w:font w:name="Arial,Bold">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embedRegular r:id="rId7" w:subsetted="1" w:fontKey="{F59B0D76-AC8C-4570-B300-601A5B26A108}"/>
    <w:embedItalic r:id="rId8" w:subsetted="1" w:fontKey="{840C10D3-9D92-4264-989B-7A6B995C2E4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52E7" w:rsidRPr="008752E7" w:rsidRDefault="008752E7">
    <w:pPr>
      <w:pStyle w:val="Footer"/>
      <w:rPr>
        <w:lang w:val="en-US"/>
      </w:rPr>
    </w:pPr>
    <w:r w:rsidRPr="008752E7">
      <w:rPr>
        <w:lang w:val="en-US"/>
      </w:rPr>
      <w:fldChar w:fldCharType="begin"/>
    </w:r>
    <w:r w:rsidRPr="008752E7">
      <w:rPr>
        <w:lang w:val="en-US"/>
      </w:rPr>
      <w:instrText xml:space="preserve"> PAGE   \* MERGEFORMAT </w:instrText>
    </w:r>
    <w:r w:rsidRPr="008752E7">
      <w:rPr>
        <w:lang w:val="en-US"/>
      </w:rPr>
      <w:fldChar w:fldCharType="separate"/>
    </w:r>
    <w:r w:rsidR="005F357A">
      <w:rPr>
        <w:noProof/>
        <w:lang w:val="en-US"/>
      </w:rPr>
      <w:t>92</w:t>
    </w:r>
    <w:r w:rsidRPr="008752E7">
      <w:rPr>
        <w:noProof/>
        <w:lang w:val="en-US"/>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52E7" w:rsidRDefault="008752E7" w:rsidP="008752E7">
    <w:pPr>
      <w:pStyle w:val="Footer"/>
      <w:bidi/>
      <w:rPr>
        <w:rtl/>
      </w:rPr>
    </w:pPr>
    <w:r>
      <w:fldChar w:fldCharType="begin"/>
    </w:r>
    <w:r>
      <w:instrText xml:space="preserve"> PAGE   \* MERGEFORMAT </w:instrText>
    </w:r>
    <w:r>
      <w:fldChar w:fldCharType="separate"/>
    </w:r>
    <w:r w:rsidR="005F357A">
      <w:rPr>
        <w:noProof/>
        <w:rtl/>
      </w:rPr>
      <w:t>91</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4FD1" w:rsidRPr="00837668" w:rsidRDefault="00BA4FD1" w:rsidP="006504A4">
    <w:pPr>
      <w:pStyle w:val="Footer"/>
      <w:pBdr>
        <w:top w:val="none" w:sz="0" w:space="0" w:color="auto"/>
      </w:pBd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4A23" w:rsidRDefault="009B4A23" w:rsidP="008752E7">
    <w:pPr>
      <w:pStyle w:val="Footer"/>
      <w:bidi/>
    </w:pPr>
    <w:r w:rsidRPr="009E2BB9">
      <w:tab/>
    </w:r>
    <w:r>
      <w:fldChar w:fldCharType="begin"/>
    </w:r>
    <w:r>
      <w:instrText xml:space="preserve"> PAGE </w:instrText>
    </w:r>
    <w:r>
      <w:fldChar w:fldCharType="separate"/>
    </w:r>
    <w:r w:rsidR="005F357A">
      <w:rPr>
        <w:noProof/>
        <w:rtl/>
      </w:rPr>
      <w:t>53</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30B6" w:rsidRDefault="007230B6" w:rsidP="009319E4">
      <w:pPr>
        <w:spacing w:after="120"/>
      </w:pPr>
      <w:r>
        <w:separator/>
      </w:r>
    </w:p>
  </w:footnote>
  <w:footnote w:type="continuationSeparator" w:id="0">
    <w:p w:rsidR="007230B6" w:rsidRDefault="007230B6">
      <w:r>
        <w:continuationSeparator/>
      </w:r>
    </w:p>
    <w:p w:rsidR="007230B6" w:rsidRDefault="007230B6"/>
    <w:p w:rsidR="007230B6" w:rsidRDefault="007230B6"/>
    <w:p w:rsidR="007230B6" w:rsidRDefault="007230B6"/>
    <w:p w:rsidR="007230B6" w:rsidRDefault="007230B6"/>
    <w:p w:rsidR="007230B6" w:rsidRDefault="007230B6"/>
  </w:footnote>
  <w:footnote w:type="continuationNotice" w:id="1">
    <w:p w:rsidR="007230B6" w:rsidRPr="006570A8" w:rsidRDefault="007230B6" w:rsidP="006570A8">
      <w:pPr>
        <w:pStyle w:val="Footer"/>
      </w:pPr>
    </w:p>
  </w:footnote>
  <w:footnote w:id="2">
    <w:p w:rsidR="00BA4FD1" w:rsidRDefault="00BA4FD1" w:rsidP="005E4A2C">
      <w:pPr>
        <w:pStyle w:val="FootnoteText"/>
      </w:pPr>
      <w:r>
        <w:rPr>
          <w:rStyle w:val="FootnoteReference"/>
          <w:sz w:val="18"/>
        </w:rPr>
        <w:footnoteRef/>
      </w:r>
      <w:r>
        <w:tab/>
        <w:t>In 2006, one US dollar was approximately equivalent to 5.7 Egyptian Pounds (L.E.)</w:t>
      </w:r>
    </w:p>
  </w:footnote>
  <w:footnote w:id="3">
    <w:p w:rsidR="00BA4FD1" w:rsidRDefault="00BA4FD1" w:rsidP="005E4A2C">
      <w:pPr>
        <w:pStyle w:val="FootnoteText"/>
      </w:pPr>
      <w:r>
        <w:rPr>
          <w:rStyle w:val="FootnoteReference"/>
          <w:sz w:val="18"/>
        </w:rPr>
        <w:footnoteRef/>
      </w:r>
      <w:r>
        <w:tab/>
      </w:r>
      <w:r>
        <w:rPr>
          <w:lang w:val="en-GB"/>
        </w:rPr>
        <w:t>Services available over networks based on standards such as the GSM standard developed by CEPT and ETSI and now maintained by the Third Generation Partnership Project (3GPP) or the TIA/EIA/IS-2000 standard (known as CDMA2000_1X) developed by the Third Generation Partnership Project 2 (3GPP2) and published by the Telecommunications Industry Association (TIA); and also available over networks based on the IMT-2000 (3G) standards identified by the ITU (WCDMA or CDMA2000_1xEV-DO). Such services include voice and lower-speed data services such as text messaging and the ability to roam on existing NPMT networks.</w:t>
      </w:r>
    </w:p>
  </w:footnote>
  <w:footnote w:id="4">
    <w:p w:rsidR="00BA4FD1" w:rsidRDefault="00BA4FD1" w:rsidP="005E4A2C">
      <w:pPr>
        <w:pStyle w:val="FootnoteText"/>
      </w:pPr>
      <w:r>
        <w:rPr>
          <w:rStyle w:val="FootnoteReference"/>
          <w:sz w:val="18"/>
        </w:rPr>
        <w:footnoteRef/>
      </w:r>
      <w:r>
        <w:rPr>
          <w:lang w:val="en-GB"/>
        </w:rPr>
        <w:tab/>
        <w:t>Services available over networks based on the IMT-2000 (3G) standards identified by the ITU (including WCDMA or CDMA2000_1x EV-DO). In addition to the services identified in Set 1, Set 2 includes services such as more efficient voice communications and a variety of services enabled by the higher data rates of IMT-2000 technologies, such as multimedia messaging, video calls, broadband Internet access, location-based services, application downloads and video downloads, and the ability to roam - to the maximum extent possible - on existing NPMT networks.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52E7" w:rsidRPr="008752E7" w:rsidRDefault="008752E7" w:rsidP="008752E7">
    <w:pPr>
      <w:pStyle w:val="Header"/>
      <w:tabs>
        <w:tab w:val="left" w:pos="567"/>
        <w:tab w:val="left" w:pos="1133"/>
        <w:tab w:val="left" w:pos="1700"/>
        <w:tab w:val="left" w:pos="2267"/>
      </w:tabs>
      <w:kinsoku w:val="0"/>
      <w:bidi/>
      <w:spacing w:before="0" w:line="192" w:lineRule="auto"/>
      <w:rPr>
        <w:rStyle w:val="PageNumber"/>
        <w:rFonts w:cs="Traditional Arabic"/>
        <w:spacing w:val="-8"/>
        <w:szCs w:val="28"/>
        <w:rtl/>
        <w:lang w:val="fr-CH"/>
      </w:rPr>
    </w:pPr>
    <w:r w:rsidRPr="008752E7">
      <w:rPr>
        <w:rStyle w:val="PageNumber"/>
        <w:rFonts w:cs="Traditional Arabic" w:hint="cs"/>
        <w:spacing w:val="-8"/>
        <w:szCs w:val="28"/>
        <w:rtl/>
        <w:lang w:val="fr-CH"/>
      </w:rPr>
      <w:t xml:space="preserve">القرار </w:t>
    </w:r>
    <w:r w:rsidRPr="008752E7">
      <w:rPr>
        <w:rStyle w:val="PageNumber"/>
        <w:rFonts w:cs="Traditional Arabic"/>
        <w:spacing w:val="-8"/>
        <w:szCs w:val="28"/>
        <w:lang w:val="fr-CH"/>
      </w:rPr>
      <w:t>9</w:t>
    </w:r>
    <w:r w:rsidRPr="008752E7">
      <w:rPr>
        <w:rStyle w:val="PageNumber"/>
        <w:rFonts w:cs="Traditional Arabic" w:hint="cs"/>
        <w:spacing w:val="-8"/>
        <w:szCs w:val="28"/>
        <w:rtl/>
        <w:lang w:val="fr-CH"/>
      </w:rPr>
      <w:t xml:space="preserve">: </w:t>
    </w:r>
    <w:r w:rsidRPr="008752E7">
      <w:rPr>
        <w:rStyle w:val="PageNumber"/>
        <w:rFonts w:cs="Traditional Arabic"/>
        <w:spacing w:val="-8"/>
        <w:szCs w:val="28"/>
        <w:rtl/>
        <w:lang w:val="fr-CH"/>
      </w:rPr>
      <w:t>مشاركة البلدان، لا سيما البلدان النامية،</w:t>
    </w:r>
    <w:r w:rsidRPr="008752E7">
      <w:rPr>
        <w:rStyle w:val="PageNumber"/>
        <w:rFonts w:cs="Traditional Arabic" w:hint="cs"/>
        <w:spacing w:val="-8"/>
        <w:szCs w:val="28"/>
        <w:rtl/>
        <w:lang w:val="fr-CH"/>
      </w:rPr>
      <w:t xml:space="preserve"> </w:t>
    </w:r>
    <w:r w:rsidRPr="008752E7">
      <w:rPr>
        <w:rStyle w:val="PageNumber"/>
        <w:rFonts w:cs="Traditional Arabic"/>
        <w:spacing w:val="-8"/>
        <w:szCs w:val="28"/>
        <w:rtl/>
        <w:lang w:val="fr-CH"/>
      </w:rPr>
      <w:t>في إدارة الطيف الراديوي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52E7" w:rsidRPr="008752E7" w:rsidRDefault="008752E7" w:rsidP="008752E7">
    <w:pPr>
      <w:pStyle w:val="Header"/>
      <w:tabs>
        <w:tab w:val="left" w:pos="567"/>
        <w:tab w:val="left" w:pos="1133"/>
        <w:tab w:val="left" w:pos="1700"/>
        <w:tab w:val="left" w:pos="2267"/>
      </w:tabs>
      <w:kinsoku w:val="0"/>
      <w:bidi/>
      <w:spacing w:before="0" w:line="192" w:lineRule="auto"/>
      <w:rPr>
        <w:rFonts w:cs="Traditional Arabic"/>
        <w:spacing w:val="-8"/>
        <w:szCs w:val="28"/>
        <w:lang w:val="fr-CH"/>
      </w:rPr>
    </w:pPr>
    <w:r w:rsidRPr="008752E7">
      <w:rPr>
        <w:rStyle w:val="PageNumber"/>
        <w:rFonts w:cs="Traditional Arabic" w:hint="cs"/>
        <w:spacing w:val="-8"/>
        <w:szCs w:val="28"/>
        <w:rtl/>
        <w:lang w:val="fr-CH"/>
      </w:rPr>
      <w:t xml:space="preserve">القرار </w:t>
    </w:r>
    <w:r w:rsidRPr="008752E7">
      <w:rPr>
        <w:rStyle w:val="PageNumber"/>
        <w:rFonts w:cs="Traditional Arabic"/>
        <w:spacing w:val="-8"/>
        <w:szCs w:val="28"/>
        <w:lang w:val="fr-CH"/>
      </w:rPr>
      <w:t>9</w:t>
    </w:r>
    <w:r w:rsidRPr="008752E7">
      <w:rPr>
        <w:rStyle w:val="PageNumber"/>
        <w:rFonts w:cs="Traditional Arabic" w:hint="cs"/>
        <w:spacing w:val="-8"/>
        <w:szCs w:val="28"/>
        <w:rtl/>
        <w:lang w:val="fr-CH"/>
      </w:rPr>
      <w:t xml:space="preserve">: </w:t>
    </w:r>
    <w:r w:rsidRPr="008752E7">
      <w:rPr>
        <w:rStyle w:val="PageNumber"/>
        <w:rFonts w:cs="Traditional Arabic"/>
        <w:spacing w:val="-8"/>
        <w:szCs w:val="28"/>
        <w:rtl/>
        <w:lang w:val="fr-CH"/>
      </w:rPr>
      <w:t>مشاركة البلدان، لا سيما البلدان النامية،</w:t>
    </w:r>
    <w:r w:rsidRPr="008752E7">
      <w:rPr>
        <w:rStyle w:val="PageNumber"/>
        <w:rFonts w:cs="Traditional Arabic" w:hint="cs"/>
        <w:spacing w:val="-8"/>
        <w:szCs w:val="28"/>
        <w:rtl/>
        <w:lang w:val="fr-CH"/>
      </w:rPr>
      <w:t xml:space="preserve"> </w:t>
    </w:r>
    <w:r w:rsidRPr="008752E7">
      <w:rPr>
        <w:rStyle w:val="PageNumber"/>
        <w:rFonts w:cs="Traditional Arabic"/>
        <w:spacing w:val="-8"/>
        <w:szCs w:val="28"/>
        <w:rtl/>
        <w:lang w:val="fr-CH"/>
      </w:rPr>
      <w:t>في إدارة الطيف الراديوي</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52E7" w:rsidRDefault="008752E7" w:rsidP="008752E7"/>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52E7" w:rsidRPr="008752E7" w:rsidRDefault="008752E7" w:rsidP="008752E7">
    <w:pPr>
      <w:pStyle w:val="Header"/>
      <w:tabs>
        <w:tab w:val="left" w:pos="567"/>
        <w:tab w:val="left" w:pos="1133"/>
        <w:tab w:val="left" w:pos="1700"/>
        <w:tab w:val="left" w:pos="2267"/>
      </w:tabs>
      <w:kinsoku w:val="0"/>
      <w:bidi/>
      <w:spacing w:before="0" w:line="192" w:lineRule="auto"/>
      <w:rPr>
        <w:rStyle w:val="PageNumber"/>
        <w:rFonts w:cs="Traditional Arabic"/>
        <w:spacing w:val="-8"/>
        <w:szCs w:val="28"/>
        <w:rtl/>
        <w:lang w:val="fr-CH"/>
      </w:rPr>
    </w:pPr>
    <w:r w:rsidRPr="008752E7">
      <w:rPr>
        <w:rStyle w:val="PageNumber"/>
        <w:rFonts w:cs="Traditional Arabic" w:hint="cs"/>
        <w:spacing w:val="-8"/>
        <w:szCs w:val="28"/>
        <w:rtl/>
        <w:lang w:val="fr-CH"/>
      </w:rPr>
      <w:t xml:space="preserve">القرار </w:t>
    </w:r>
    <w:r w:rsidRPr="008752E7">
      <w:rPr>
        <w:rStyle w:val="PageNumber"/>
        <w:rFonts w:cs="Traditional Arabic"/>
        <w:spacing w:val="-8"/>
        <w:szCs w:val="28"/>
        <w:lang w:val="fr-CH"/>
      </w:rPr>
      <w:t>9</w:t>
    </w:r>
    <w:r w:rsidRPr="008752E7">
      <w:rPr>
        <w:rStyle w:val="PageNumber"/>
        <w:rFonts w:cs="Traditional Arabic" w:hint="cs"/>
        <w:spacing w:val="-8"/>
        <w:szCs w:val="28"/>
        <w:rtl/>
        <w:lang w:val="fr-CH"/>
      </w:rPr>
      <w:t xml:space="preserve">: </w:t>
    </w:r>
    <w:r w:rsidRPr="008752E7">
      <w:rPr>
        <w:rStyle w:val="PageNumber"/>
        <w:rFonts w:cs="Traditional Arabic"/>
        <w:spacing w:val="-8"/>
        <w:szCs w:val="28"/>
        <w:rtl/>
        <w:lang w:val="fr-CH"/>
      </w:rPr>
      <w:t>مشاركة البلدان، لا سيما البلدان النامية،</w:t>
    </w:r>
    <w:r w:rsidRPr="008752E7">
      <w:rPr>
        <w:rStyle w:val="PageNumber"/>
        <w:rFonts w:cs="Traditional Arabic" w:hint="cs"/>
        <w:spacing w:val="-8"/>
        <w:szCs w:val="28"/>
        <w:rtl/>
        <w:lang w:val="fr-CH"/>
      </w:rPr>
      <w:t xml:space="preserve"> </w:t>
    </w:r>
    <w:r w:rsidRPr="008752E7">
      <w:rPr>
        <w:rStyle w:val="PageNumber"/>
        <w:rFonts w:cs="Traditional Arabic"/>
        <w:spacing w:val="-8"/>
        <w:szCs w:val="28"/>
        <w:rtl/>
        <w:lang w:val="fr-CH"/>
      </w:rPr>
      <w:t>في إدارة الطيف الراديوي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2pt;height:9.2pt" o:bullet="t">
        <v:imagedata r:id="rId1" o:title="BD10267_"/>
      </v:shape>
    </w:pict>
  </w:numPicBullet>
  <w:abstractNum w:abstractNumId="0">
    <w:nsid w:val="02B4599C"/>
    <w:multiLevelType w:val="multilevel"/>
    <w:tmpl w:val="38A6C67E"/>
    <w:name w:val="structure3"/>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nsid w:val="046D7EC1"/>
    <w:multiLevelType w:val="hybridMultilevel"/>
    <w:tmpl w:val="052A60E0"/>
    <w:lvl w:ilvl="0" w:tplc="19227E42">
      <w:start w:val="1"/>
      <w:numFmt w:val="decimal"/>
      <w:pStyle w:val="CEOIndent1-123"/>
      <w:lvlText w:val="%1."/>
      <w:lvlJc w:val="left"/>
      <w:pPr>
        <w:tabs>
          <w:tab w:val="num" w:pos="927"/>
        </w:tabs>
        <w:ind w:left="927" w:hanging="360"/>
      </w:pPr>
      <w:rPr>
        <w:rFonts w:ascii="Verdana" w:hAnsi="Verdana" w:hint="default"/>
        <w:b w:val="0"/>
        <w:i w:val="0"/>
        <w:sz w:val="18"/>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rPr>
        <w:rFonts w:hint="default"/>
        <w:b w:val="0"/>
        <w:i w:val="0"/>
        <w:sz w:val="18"/>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57039CF"/>
    <w:multiLevelType w:val="hybridMultilevel"/>
    <w:tmpl w:val="E41CC14E"/>
    <w:lvl w:ilvl="0" w:tplc="240A0017">
      <w:start w:val="1"/>
      <w:numFmt w:val="lowerLetter"/>
      <w:lvlText w:val="%1)"/>
      <w:lvlJc w:val="left"/>
      <w:pPr>
        <w:ind w:left="360" w:hanging="360"/>
      </w:pPr>
    </w:lvl>
    <w:lvl w:ilvl="1" w:tplc="240A0003">
      <w:start w:val="1"/>
      <w:numFmt w:val="bullet"/>
      <w:lvlText w:val="o"/>
      <w:lvlJc w:val="left"/>
      <w:pPr>
        <w:ind w:left="1080" w:hanging="360"/>
      </w:pPr>
      <w:rPr>
        <w:rFonts w:ascii="Courier New" w:hAnsi="Courier New" w:cs="Courier New" w:hint="default"/>
      </w:rPr>
    </w:lvl>
    <w:lvl w:ilvl="2" w:tplc="240A001B">
      <w:start w:val="1"/>
      <w:numFmt w:val="lowerRoman"/>
      <w:lvlText w:val="%3."/>
      <w:lvlJc w:val="right"/>
      <w:pPr>
        <w:ind w:left="1800" w:hanging="180"/>
      </w:pPr>
    </w:lvl>
    <w:lvl w:ilvl="3" w:tplc="240A000F">
      <w:start w:val="1"/>
      <w:numFmt w:val="decimal"/>
      <w:lvlText w:val="%4."/>
      <w:lvlJc w:val="left"/>
      <w:pPr>
        <w:ind w:left="2520" w:hanging="360"/>
      </w:pPr>
    </w:lvl>
    <w:lvl w:ilvl="4" w:tplc="240A0019">
      <w:start w:val="1"/>
      <w:numFmt w:val="lowerLetter"/>
      <w:lvlText w:val="%5."/>
      <w:lvlJc w:val="left"/>
      <w:pPr>
        <w:ind w:left="3240" w:hanging="360"/>
      </w:pPr>
    </w:lvl>
    <w:lvl w:ilvl="5" w:tplc="240A001B">
      <w:start w:val="1"/>
      <w:numFmt w:val="lowerRoman"/>
      <w:lvlText w:val="%6."/>
      <w:lvlJc w:val="right"/>
      <w:pPr>
        <w:ind w:left="3960" w:hanging="180"/>
      </w:pPr>
    </w:lvl>
    <w:lvl w:ilvl="6" w:tplc="240A000F">
      <w:start w:val="1"/>
      <w:numFmt w:val="decimal"/>
      <w:lvlText w:val="%7."/>
      <w:lvlJc w:val="left"/>
      <w:pPr>
        <w:ind w:left="4680" w:hanging="360"/>
      </w:pPr>
    </w:lvl>
    <w:lvl w:ilvl="7" w:tplc="240A0019">
      <w:start w:val="1"/>
      <w:numFmt w:val="lowerLetter"/>
      <w:lvlText w:val="%8."/>
      <w:lvlJc w:val="left"/>
      <w:pPr>
        <w:ind w:left="5400" w:hanging="360"/>
      </w:pPr>
    </w:lvl>
    <w:lvl w:ilvl="8" w:tplc="240A001B">
      <w:start w:val="1"/>
      <w:numFmt w:val="lowerRoman"/>
      <w:lvlText w:val="%9."/>
      <w:lvlJc w:val="right"/>
      <w:pPr>
        <w:ind w:left="6120" w:hanging="180"/>
      </w:pPr>
    </w:lvl>
  </w:abstractNum>
  <w:abstractNum w:abstractNumId="3">
    <w:nsid w:val="08280A3B"/>
    <w:multiLevelType w:val="multilevel"/>
    <w:tmpl w:val="0809001D"/>
    <w:name w:val="RD_Hierarchie_Titres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nsid w:val="09DB5935"/>
    <w:multiLevelType w:val="hybridMultilevel"/>
    <w:tmpl w:val="FA787BE2"/>
    <w:lvl w:ilvl="0" w:tplc="9910623A">
      <w:start w:val="1"/>
      <w:numFmt w:val="decimal"/>
      <w:lvlText w:val="%1."/>
      <w:lvlJc w:val="left"/>
      <w:pPr>
        <w:ind w:left="720" w:hanging="360"/>
      </w:pPr>
      <w:rPr>
        <w:rFonts w:ascii="Verdana" w:hAnsi="Verdana" w:hint="default"/>
        <w:b/>
        <w:i w:val="0"/>
        <w:sz w:val="18"/>
      </w:rPr>
    </w:lvl>
    <w:lvl w:ilvl="1" w:tplc="240A0003">
      <w:start w:val="1"/>
      <w:numFmt w:val="bullet"/>
      <w:lvlText w:val="o"/>
      <w:lvlJc w:val="left"/>
      <w:pPr>
        <w:ind w:left="1440" w:hanging="360"/>
      </w:pPr>
      <w:rPr>
        <w:rFonts w:ascii="Courier New" w:hAnsi="Courier New" w:cs="Courier New" w:hint="default"/>
      </w:r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5">
    <w:nsid w:val="0BAD2384"/>
    <w:multiLevelType w:val="hybridMultilevel"/>
    <w:tmpl w:val="3228AFFC"/>
    <w:lvl w:ilvl="0" w:tplc="FE9C63CA">
      <w:start w:val="1"/>
      <w:numFmt w:val="bullet"/>
      <w:pStyle w:val="CEOIndent-bulletsBlueSquare"/>
      <w:lvlText w:val=""/>
      <w:lvlPicBulletId w:val="0"/>
      <w:lvlJc w:val="left"/>
      <w:pPr>
        <w:tabs>
          <w:tab w:val="num" w:pos="927"/>
        </w:tabs>
        <w:ind w:left="927" w:hanging="360"/>
      </w:pPr>
      <w:rPr>
        <w:rFonts w:ascii="Symbol" w:hAnsi="Symbol" w:hint="default"/>
        <w:color w:val="auto"/>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
    <w:nsid w:val="109E30A0"/>
    <w:multiLevelType w:val="singleLevel"/>
    <w:tmpl w:val="63D0BBA6"/>
    <w:lvl w:ilvl="0">
      <w:start w:val="1"/>
      <w:numFmt w:val="bullet"/>
      <w:pStyle w:val="Liste1"/>
      <w:lvlText w:val=""/>
      <w:lvlJc w:val="left"/>
      <w:pPr>
        <w:tabs>
          <w:tab w:val="num" w:pos="360"/>
        </w:tabs>
        <w:ind w:left="360" w:hanging="360"/>
      </w:pPr>
      <w:rPr>
        <w:rFonts w:ascii="Symbol" w:hAnsi="Symbol" w:hint="default"/>
      </w:rPr>
    </w:lvl>
  </w:abstractNum>
  <w:abstractNum w:abstractNumId="7">
    <w:nsid w:val="12836B7F"/>
    <w:multiLevelType w:val="hybridMultilevel"/>
    <w:tmpl w:val="6666EE58"/>
    <w:lvl w:ilvl="0" w:tplc="240A0017">
      <w:start w:val="1"/>
      <w:numFmt w:val="lowerLetter"/>
      <w:lvlText w:val="%1)"/>
      <w:lvlJc w:val="left"/>
      <w:pPr>
        <w:ind w:left="720" w:hanging="360"/>
      </w:pPr>
    </w:lvl>
    <w:lvl w:ilvl="1" w:tplc="2542BA02">
      <w:start w:val="1"/>
      <w:numFmt w:val="bullet"/>
      <w:lvlText w:val=""/>
      <w:lvlJc w:val="left"/>
      <w:pPr>
        <w:ind w:left="1440" w:hanging="360"/>
      </w:pPr>
      <w:rPr>
        <w:rFonts w:ascii="Symbol" w:hAnsi="Symbol" w:hint="default"/>
      </w:r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8">
    <w:nsid w:val="1BC20E17"/>
    <w:multiLevelType w:val="hybridMultilevel"/>
    <w:tmpl w:val="640813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nsid w:val="1E3874B6"/>
    <w:multiLevelType w:val="hybridMultilevel"/>
    <w:tmpl w:val="63029F74"/>
    <w:lvl w:ilvl="0" w:tplc="0409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
    <w:nsid w:val="1FEE1240"/>
    <w:multiLevelType w:val="multilevel"/>
    <w:tmpl w:val="04090025"/>
    <w:styleLink w:val="Annexes"/>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nsid w:val="22252666"/>
    <w:multiLevelType w:val="hybridMultilevel"/>
    <w:tmpl w:val="0474468A"/>
    <w:lvl w:ilvl="0" w:tplc="EF4E0950">
      <w:start w:val="1"/>
      <w:numFmt w:val="bullet"/>
      <w:lvlText w:val=""/>
      <w:lvlJc w:val="left"/>
      <w:pPr>
        <w:ind w:left="1068" w:hanging="360"/>
      </w:pPr>
      <w:rPr>
        <w:rFonts w:ascii="Symbol" w:hAnsi="Symbol" w:hint="default"/>
        <w:sz w:val="20"/>
      </w:rPr>
    </w:lvl>
    <w:lvl w:ilvl="1" w:tplc="240A0003">
      <w:start w:val="1"/>
      <w:numFmt w:val="bullet"/>
      <w:lvlText w:val="o"/>
      <w:lvlJc w:val="left"/>
      <w:pPr>
        <w:ind w:left="1788" w:hanging="360"/>
      </w:pPr>
      <w:rPr>
        <w:rFonts w:ascii="Courier New" w:hAnsi="Courier New" w:cs="Courier New" w:hint="default"/>
      </w:rPr>
    </w:lvl>
    <w:lvl w:ilvl="2" w:tplc="240A0005">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start w:val="1"/>
      <w:numFmt w:val="bullet"/>
      <w:lvlText w:val="o"/>
      <w:lvlJc w:val="left"/>
      <w:pPr>
        <w:ind w:left="3948" w:hanging="360"/>
      </w:pPr>
      <w:rPr>
        <w:rFonts w:ascii="Courier New" w:hAnsi="Courier New" w:cs="Courier New" w:hint="default"/>
      </w:rPr>
    </w:lvl>
    <w:lvl w:ilvl="5" w:tplc="240A0005">
      <w:start w:val="1"/>
      <w:numFmt w:val="bullet"/>
      <w:lvlText w:val=""/>
      <w:lvlJc w:val="left"/>
      <w:pPr>
        <w:ind w:left="4668" w:hanging="360"/>
      </w:pPr>
      <w:rPr>
        <w:rFonts w:ascii="Wingdings" w:hAnsi="Wingdings" w:hint="default"/>
      </w:rPr>
    </w:lvl>
    <w:lvl w:ilvl="6" w:tplc="240A0001">
      <w:start w:val="1"/>
      <w:numFmt w:val="bullet"/>
      <w:lvlText w:val=""/>
      <w:lvlJc w:val="left"/>
      <w:pPr>
        <w:ind w:left="5388" w:hanging="360"/>
      </w:pPr>
      <w:rPr>
        <w:rFonts w:ascii="Symbol" w:hAnsi="Symbol" w:hint="default"/>
      </w:rPr>
    </w:lvl>
    <w:lvl w:ilvl="7" w:tplc="240A0003">
      <w:start w:val="1"/>
      <w:numFmt w:val="bullet"/>
      <w:lvlText w:val="o"/>
      <w:lvlJc w:val="left"/>
      <w:pPr>
        <w:ind w:left="6108" w:hanging="360"/>
      </w:pPr>
      <w:rPr>
        <w:rFonts w:ascii="Courier New" w:hAnsi="Courier New" w:cs="Courier New" w:hint="default"/>
      </w:rPr>
    </w:lvl>
    <w:lvl w:ilvl="8" w:tplc="240A0005">
      <w:start w:val="1"/>
      <w:numFmt w:val="bullet"/>
      <w:lvlText w:val=""/>
      <w:lvlJc w:val="left"/>
      <w:pPr>
        <w:ind w:left="6828" w:hanging="360"/>
      </w:pPr>
      <w:rPr>
        <w:rFonts w:ascii="Wingdings" w:hAnsi="Wingdings" w:hint="default"/>
      </w:rPr>
    </w:lvl>
  </w:abstractNum>
  <w:abstractNum w:abstractNumId="12">
    <w:nsid w:val="26677578"/>
    <w:multiLevelType w:val="multilevel"/>
    <w:tmpl w:val="040C001D"/>
    <w:name w:val="structure3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2B1A38A7"/>
    <w:multiLevelType w:val="hybridMultilevel"/>
    <w:tmpl w:val="E41CC14E"/>
    <w:lvl w:ilvl="0" w:tplc="240A0017">
      <w:start w:val="1"/>
      <w:numFmt w:val="lowerLetter"/>
      <w:lvlText w:val="%1)"/>
      <w:lvlJc w:val="left"/>
      <w:pPr>
        <w:ind w:left="720" w:hanging="360"/>
      </w:pPr>
    </w:lvl>
    <w:lvl w:ilvl="1" w:tplc="240A0003">
      <w:start w:val="1"/>
      <w:numFmt w:val="bullet"/>
      <w:lvlText w:val="o"/>
      <w:lvlJc w:val="left"/>
      <w:pPr>
        <w:ind w:left="1440" w:hanging="360"/>
      </w:pPr>
      <w:rPr>
        <w:rFonts w:ascii="Courier New" w:hAnsi="Courier New" w:cs="Courier New" w:hint="default"/>
      </w:r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4">
    <w:nsid w:val="2D665624"/>
    <w:multiLevelType w:val="hybridMultilevel"/>
    <w:tmpl w:val="32DA350A"/>
    <w:lvl w:ilvl="0" w:tplc="1C5EA9FA">
      <w:start w:val="1"/>
      <w:numFmt w:val="lowerLetter"/>
      <w:lvlText w:val="%1)"/>
      <w:lvlJc w:val="left"/>
      <w:pPr>
        <w:ind w:left="720" w:hanging="360"/>
      </w:pPr>
      <w:rPr>
        <w:b w:val="0"/>
        <w:bCs w:val="0"/>
      </w:rPr>
    </w:lvl>
    <w:lvl w:ilvl="1" w:tplc="2542BA02">
      <w:start w:val="1"/>
      <w:numFmt w:val="bullet"/>
      <w:lvlText w:val=""/>
      <w:lvlJc w:val="left"/>
      <w:pPr>
        <w:ind w:left="1440" w:hanging="360"/>
      </w:pPr>
      <w:rPr>
        <w:rFonts w:ascii="Symbol" w:hAnsi="Symbol" w:hint="default"/>
      </w:r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5">
    <w:nsid w:val="30434284"/>
    <w:multiLevelType w:val="hybridMultilevel"/>
    <w:tmpl w:val="32E85866"/>
    <w:lvl w:ilvl="0" w:tplc="BC769102">
      <w:start w:val="1"/>
      <w:numFmt w:val="upperLetter"/>
      <w:lvlText w:val="%1)"/>
      <w:lvlJc w:val="left"/>
      <w:pPr>
        <w:ind w:left="720" w:hanging="360"/>
      </w:pPr>
      <w:rPr>
        <w:rFonts w:ascii="Verdana" w:hAnsi="Verdana" w:hint="default"/>
        <w:b/>
        <w:i w:val="0"/>
        <w:sz w:val="19"/>
        <w:szCs w:val="19"/>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6">
    <w:nsid w:val="3501160B"/>
    <w:multiLevelType w:val="multilevel"/>
    <w:tmpl w:val="9BDCEE40"/>
    <w:name w:val="structure"/>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2694" w:firstLine="0"/>
      </w:pPr>
      <w:rPr>
        <w:rFonts w:ascii="Helvetica" w:hAnsi="Helvetica" w:hint="default"/>
        <w:b/>
        <w:i w:val="0"/>
        <w:color w:val="003399"/>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4679"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7">
    <w:nsid w:val="355A70D3"/>
    <w:multiLevelType w:val="multilevel"/>
    <w:tmpl w:val="3B080C46"/>
    <w:name w:val="structure4"/>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nsid w:val="35D1554C"/>
    <w:multiLevelType w:val="hybridMultilevel"/>
    <w:tmpl w:val="F62469F4"/>
    <w:lvl w:ilvl="0" w:tplc="287A33FE">
      <w:start w:val="1"/>
      <w:numFmt w:val="bullet"/>
      <w:pStyle w:val="CEOindent-endash"/>
      <w:lvlText w:val="–"/>
      <w:lvlJc w:val="left"/>
      <w:pPr>
        <w:tabs>
          <w:tab w:val="num" w:pos="360"/>
        </w:tabs>
        <w:ind w:left="360" w:hanging="360"/>
      </w:pPr>
      <w:rPr>
        <w:rFonts w:ascii="Verdana" w:hAnsi="Verdana" w:hint="default"/>
        <w:color w:val="auto"/>
      </w:rPr>
    </w:lvl>
    <w:lvl w:ilvl="1" w:tplc="04090003" w:tentative="1">
      <w:start w:val="1"/>
      <w:numFmt w:val="bullet"/>
      <w:lvlText w:val="o"/>
      <w:lvlJc w:val="left"/>
      <w:pPr>
        <w:tabs>
          <w:tab w:val="num" w:pos="1091"/>
        </w:tabs>
        <w:ind w:left="1091" w:hanging="360"/>
      </w:pPr>
      <w:rPr>
        <w:rFonts w:ascii="Courier New" w:hAnsi="Courier New" w:cs="Courier New" w:hint="default"/>
      </w:rPr>
    </w:lvl>
    <w:lvl w:ilvl="2" w:tplc="04090005" w:tentative="1">
      <w:start w:val="1"/>
      <w:numFmt w:val="bullet"/>
      <w:lvlText w:val=""/>
      <w:lvlJc w:val="left"/>
      <w:pPr>
        <w:tabs>
          <w:tab w:val="num" w:pos="1811"/>
        </w:tabs>
        <w:ind w:left="1811" w:hanging="360"/>
      </w:pPr>
      <w:rPr>
        <w:rFonts w:ascii="Wingdings" w:hAnsi="Wingdings" w:hint="default"/>
      </w:rPr>
    </w:lvl>
    <w:lvl w:ilvl="3" w:tplc="04090001" w:tentative="1">
      <w:start w:val="1"/>
      <w:numFmt w:val="bullet"/>
      <w:lvlText w:val=""/>
      <w:lvlJc w:val="left"/>
      <w:pPr>
        <w:tabs>
          <w:tab w:val="num" w:pos="2531"/>
        </w:tabs>
        <w:ind w:left="2531" w:hanging="360"/>
      </w:pPr>
      <w:rPr>
        <w:rFonts w:ascii="Symbol" w:hAnsi="Symbol" w:hint="default"/>
      </w:rPr>
    </w:lvl>
    <w:lvl w:ilvl="4" w:tplc="04090003" w:tentative="1">
      <w:start w:val="1"/>
      <w:numFmt w:val="bullet"/>
      <w:lvlText w:val="o"/>
      <w:lvlJc w:val="left"/>
      <w:pPr>
        <w:tabs>
          <w:tab w:val="num" w:pos="3251"/>
        </w:tabs>
        <w:ind w:left="3251" w:hanging="360"/>
      </w:pPr>
      <w:rPr>
        <w:rFonts w:ascii="Courier New" w:hAnsi="Courier New" w:cs="Courier New" w:hint="default"/>
      </w:rPr>
    </w:lvl>
    <w:lvl w:ilvl="5" w:tplc="04090005" w:tentative="1">
      <w:start w:val="1"/>
      <w:numFmt w:val="bullet"/>
      <w:lvlText w:val=""/>
      <w:lvlJc w:val="left"/>
      <w:pPr>
        <w:tabs>
          <w:tab w:val="num" w:pos="3971"/>
        </w:tabs>
        <w:ind w:left="3971" w:hanging="360"/>
      </w:pPr>
      <w:rPr>
        <w:rFonts w:ascii="Wingdings" w:hAnsi="Wingdings" w:hint="default"/>
      </w:rPr>
    </w:lvl>
    <w:lvl w:ilvl="6" w:tplc="04090001" w:tentative="1">
      <w:start w:val="1"/>
      <w:numFmt w:val="bullet"/>
      <w:lvlText w:val=""/>
      <w:lvlJc w:val="left"/>
      <w:pPr>
        <w:tabs>
          <w:tab w:val="num" w:pos="4691"/>
        </w:tabs>
        <w:ind w:left="4691" w:hanging="360"/>
      </w:pPr>
      <w:rPr>
        <w:rFonts w:ascii="Symbol" w:hAnsi="Symbol" w:hint="default"/>
      </w:rPr>
    </w:lvl>
    <w:lvl w:ilvl="7" w:tplc="04090003" w:tentative="1">
      <w:start w:val="1"/>
      <w:numFmt w:val="bullet"/>
      <w:lvlText w:val="o"/>
      <w:lvlJc w:val="left"/>
      <w:pPr>
        <w:tabs>
          <w:tab w:val="num" w:pos="5411"/>
        </w:tabs>
        <w:ind w:left="5411" w:hanging="360"/>
      </w:pPr>
      <w:rPr>
        <w:rFonts w:ascii="Courier New" w:hAnsi="Courier New" w:cs="Courier New" w:hint="default"/>
      </w:rPr>
    </w:lvl>
    <w:lvl w:ilvl="8" w:tplc="04090005" w:tentative="1">
      <w:start w:val="1"/>
      <w:numFmt w:val="bullet"/>
      <w:lvlText w:val=""/>
      <w:lvlJc w:val="left"/>
      <w:pPr>
        <w:tabs>
          <w:tab w:val="num" w:pos="6131"/>
        </w:tabs>
        <w:ind w:left="6131" w:hanging="360"/>
      </w:pPr>
      <w:rPr>
        <w:rFonts w:ascii="Wingdings" w:hAnsi="Wingdings" w:hint="default"/>
      </w:rPr>
    </w:lvl>
  </w:abstractNum>
  <w:abstractNum w:abstractNumId="19">
    <w:nsid w:val="391775F4"/>
    <w:multiLevelType w:val="hybridMultilevel"/>
    <w:tmpl w:val="6762B042"/>
    <w:lvl w:ilvl="0" w:tplc="7A9AC6D6">
      <w:start w:val="1"/>
      <w:numFmt w:val="decimal"/>
      <w:pStyle w:val="CEOcontribution-H123"/>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38A2A7B"/>
    <w:multiLevelType w:val="hybridMultilevel"/>
    <w:tmpl w:val="881AE196"/>
    <w:lvl w:ilvl="0" w:tplc="EF4E0950">
      <w:start w:val="1"/>
      <w:numFmt w:val="bullet"/>
      <w:lvlText w:val=""/>
      <w:lvlJc w:val="left"/>
      <w:pPr>
        <w:ind w:left="720" w:hanging="360"/>
      </w:pPr>
      <w:rPr>
        <w:rFonts w:ascii="Symbol" w:hAnsi="Symbol" w:hint="default"/>
        <w:b/>
        <w:i w:val="0"/>
        <w:sz w:val="20"/>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21">
    <w:nsid w:val="5B505F91"/>
    <w:multiLevelType w:val="hybridMultilevel"/>
    <w:tmpl w:val="7E2CFDF8"/>
    <w:lvl w:ilvl="0" w:tplc="59269AB8">
      <w:numFmt w:val="bullet"/>
      <w:pStyle w:val="CEOIndent-bulletsblackdot"/>
      <w:lvlText w:val=""/>
      <w:lvlJc w:val="left"/>
      <w:pPr>
        <w:tabs>
          <w:tab w:val="num" w:pos="426"/>
        </w:tabs>
        <w:ind w:left="426" w:hanging="284"/>
      </w:pPr>
      <w:rPr>
        <w:rFonts w:ascii="Symbol" w:hAnsi="Symbol" w:hint="default"/>
      </w:rPr>
    </w:lvl>
    <w:lvl w:ilvl="1" w:tplc="1C2C2DC8">
      <w:start w:val="2"/>
      <w:numFmt w:val="bullet"/>
      <w:lvlText w:val="•"/>
      <w:lvlJc w:val="left"/>
      <w:pPr>
        <w:ind w:left="1650" w:hanging="570"/>
      </w:pPr>
      <w:rPr>
        <w:rFonts w:ascii="Verdana" w:eastAsia="SimHei" w:hAnsi="Verdana" w:cs="Simplified Arabic" w:hint="default"/>
      </w:rPr>
    </w:lvl>
    <w:lvl w:ilvl="2" w:tplc="D950843A" w:tentative="1">
      <w:start w:val="1"/>
      <w:numFmt w:val="bullet"/>
      <w:lvlText w:val=""/>
      <w:lvlJc w:val="left"/>
      <w:pPr>
        <w:tabs>
          <w:tab w:val="num" w:pos="2160"/>
        </w:tabs>
        <w:ind w:left="2160" w:hanging="360"/>
      </w:pPr>
      <w:rPr>
        <w:rFonts w:ascii="Wingdings" w:hAnsi="Wingdings" w:hint="default"/>
      </w:rPr>
    </w:lvl>
    <w:lvl w:ilvl="3" w:tplc="03FAE1CE" w:tentative="1">
      <w:start w:val="1"/>
      <w:numFmt w:val="bullet"/>
      <w:lvlText w:val=""/>
      <w:lvlJc w:val="left"/>
      <w:pPr>
        <w:tabs>
          <w:tab w:val="num" w:pos="2880"/>
        </w:tabs>
        <w:ind w:left="2880" w:hanging="360"/>
      </w:pPr>
      <w:rPr>
        <w:rFonts w:ascii="Symbol" w:hAnsi="Symbol" w:hint="default"/>
      </w:rPr>
    </w:lvl>
    <w:lvl w:ilvl="4" w:tplc="23CCA2D4" w:tentative="1">
      <w:start w:val="1"/>
      <w:numFmt w:val="bullet"/>
      <w:lvlText w:val="o"/>
      <w:lvlJc w:val="left"/>
      <w:pPr>
        <w:tabs>
          <w:tab w:val="num" w:pos="3600"/>
        </w:tabs>
        <w:ind w:left="3600" w:hanging="360"/>
      </w:pPr>
      <w:rPr>
        <w:rFonts w:ascii="Courier New" w:hAnsi="Courier New" w:cs="Courier New" w:hint="default"/>
      </w:rPr>
    </w:lvl>
    <w:lvl w:ilvl="5" w:tplc="08B69548" w:tentative="1">
      <w:start w:val="1"/>
      <w:numFmt w:val="bullet"/>
      <w:lvlText w:val=""/>
      <w:lvlJc w:val="left"/>
      <w:pPr>
        <w:tabs>
          <w:tab w:val="num" w:pos="4320"/>
        </w:tabs>
        <w:ind w:left="4320" w:hanging="360"/>
      </w:pPr>
      <w:rPr>
        <w:rFonts w:ascii="Wingdings" w:hAnsi="Wingdings" w:hint="default"/>
      </w:rPr>
    </w:lvl>
    <w:lvl w:ilvl="6" w:tplc="53F8D1B8" w:tentative="1">
      <w:start w:val="1"/>
      <w:numFmt w:val="bullet"/>
      <w:lvlText w:val=""/>
      <w:lvlJc w:val="left"/>
      <w:pPr>
        <w:tabs>
          <w:tab w:val="num" w:pos="5040"/>
        </w:tabs>
        <w:ind w:left="5040" w:hanging="360"/>
      </w:pPr>
      <w:rPr>
        <w:rFonts w:ascii="Symbol" w:hAnsi="Symbol" w:hint="default"/>
      </w:rPr>
    </w:lvl>
    <w:lvl w:ilvl="7" w:tplc="F920DCEC" w:tentative="1">
      <w:start w:val="1"/>
      <w:numFmt w:val="bullet"/>
      <w:lvlText w:val="o"/>
      <w:lvlJc w:val="left"/>
      <w:pPr>
        <w:tabs>
          <w:tab w:val="num" w:pos="5760"/>
        </w:tabs>
        <w:ind w:left="5760" w:hanging="360"/>
      </w:pPr>
      <w:rPr>
        <w:rFonts w:ascii="Courier New" w:hAnsi="Courier New" w:cs="Courier New" w:hint="default"/>
      </w:rPr>
    </w:lvl>
    <w:lvl w:ilvl="8" w:tplc="FAF899A4" w:tentative="1">
      <w:start w:val="1"/>
      <w:numFmt w:val="bullet"/>
      <w:lvlText w:val=""/>
      <w:lvlJc w:val="left"/>
      <w:pPr>
        <w:tabs>
          <w:tab w:val="num" w:pos="6480"/>
        </w:tabs>
        <w:ind w:left="6480" w:hanging="360"/>
      </w:pPr>
      <w:rPr>
        <w:rFonts w:ascii="Wingdings" w:hAnsi="Wingdings" w:hint="default"/>
      </w:rPr>
    </w:lvl>
  </w:abstractNum>
  <w:abstractNum w:abstractNumId="22">
    <w:nsid w:val="6D23266E"/>
    <w:multiLevelType w:val="hybridMultilevel"/>
    <w:tmpl w:val="7A3264E2"/>
    <w:lvl w:ilvl="0" w:tplc="B32290C0">
      <w:start w:val="1"/>
      <w:numFmt w:val="decimal"/>
      <w:lvlText w:val="%1)"/>
      <w:lvlJc w:val="left"/>
      <w:pPr>
        <w:ind w:left="720" w:hanging="360"/>
      </w:pPr>
      <w:rPr>
        <w:b w:val="0"/>
        <w:bCs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nsid w:val="6EDC3576"/>
    <w:multiLevelType w:val="hybridMultilevel"/>
    <w:tmpl w:val="94E8FBB8"/>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4">
    <w:nsid w:val="6F432276"/>
    <w:multiLevelType w:val="multilevel"/>
    <w:tmpl w:val="1C66F352"/>
    <w:styleLink w:val="HIPTitlesHierarchy"/>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008000"/>
        <w:sz w:val="24"/>
        <w:szCs w:val="24"/>
      </w:rPr>
    </w:lvl>
    <w:lvl w:ilvl="2">
      <w:start w:val="1"/>
      <w:numFmt w:val="decimal"/>
      <w:suff w:val="space"/>
      <w:lvlText w:val="%3"/>
      <w:lvlJc w:val="left"/>
      <w:pPr>
        <w:ind w:left="0" w:firstLine="0"/>
      </w:pPr>
      <w:rPr>
        <w:rFonts w:ascii="Helvetica" w:hAnsi="Helvetica" w:hint="default"/>
        <w:b/>
        <w:i w:val="0"/>
        <w:color w:val="008000"/>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color w:val="008000"/>
        <w:sz w:val="22"/>
        <w:szCs w:val="22"/>
      </w:rPr>
    </w:lvl>
    <w:lvl w:ilvl="5">
      <w:start w:val="1"/>
      <w:numFmt w:val="decimal"/>
      <w:suff w:val="space"/>
      <w:lvlText w:val="%3.%4.%5.%6"/>
      <w:lvlJc w:val="left"/>
      <w:pPr>
        <w:ind w:left="0" w:firstLine="0"/>
      </w:pPr>
      <w:rPr>
        <w:rFonts w:ascii="Helvetica" w:hAnsi="Helvetica" w:hint="default"/>
        <w:b w:val="0"/>
        <w:i/>
        <w:color w:val="auto"/>
        <w:sz w:val="22"/>
        <w:szCs w:val="22"/>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25">
    <w:nsid w:val="744D7F75"/>
    <w:multiLevelType w:val="hybridMultilevel"/>
    <w:tmpl w:val="EB20ADB4"/>
    <w:name w:val="RD_Tiles_Hierarchy"/>
    <w:lvl w:ilvl="0" w:tplc="09ECE78C">
      <w:start w:val="1"/>
      <w:numFmt w:val="decimal"/>
      <w:pStyle w:val="CEOHeader1"/>
      <w:lvlText w:val="%1)"/>
      <w:lvlJc w:val="left"/>
      <w:pPr>
        <w:tabs>
          <w:tab w:val="num" w:pos="927"/>
        </w:tabs>
        <w:ind w:left="927" w:hanging="360"/>
      </w:pPr>
      <w:rPr>
        <w:rFonts w:hint="default"/>
        <w:b w:val="0"/>
        <w:i w:val="0"/>
        <w:sz w:val="18"/>
      </w:rPr>
    </w:lvl>
    <w:lvl w:ilvl="1" w:tplc="73CA792C">
      <w:start w:val="1"/>
      <w:numFmt w:val="lowerLetter"/>
      <w:lvlText w:val="%2."/>
      <w:lvlJc w:val="left"/>
      <w:pPr>
        <w:tabs>
          <w:tab w:val="num" w:pos="1440"/>
        </w:tabs>
        <w:ind w:left="1440" w:hanging="360"/>
      </w:pPr>
    </w:lvl>
    <w:lvl w:ilvl="2" w:tplc="0F4E8DAE">
      <w:start w:val="1"/>
      <w:numFmt w:val="lowerRoman"/>
      <w:pStyle w:val="CEOParagraph111"/>
      <w:lvlText w:val="%3."/>
      <w:lvlJc w:val="right"/>
      <w:pPr>
        <w:tabs>
          <w:tab w:val="num" w:pos="2160"/>
        </w:tabs>
        <w:ind w:left="2160" w:hanging="180"/>
      </w:pPr>
    </w:lvl>
    <w:lvl w:ilvl="3" w:tplc="CF32660A">
      <w:start w:val="1"/>
      <w:numFmt w:val="decimal"/>
      <w:lvlText w:val="%4."/>
      <w:lvlJc w:val="left"/>
      <w:pPr>
        <w:tabs>
          <w:tab w:val="num" w:pos="2880"/>
        </w:tabs>
        <w:ind w:left="2880" w:hanging="360"/>
      </w:pPr>
      <w:rPr>
        <w:rFonts w:hint="default"/>
        <w:b w:val="0"/>
        <w:i w:val="0"/>
        <w:sz w:val="18"/>
      </w:rPr>
    </w:lvl>
    <w:lvl w:ilvl="4" w:tplc="2C88CF4A" w:tentative="1">
      <w:start w:val="1"/>
      <w:numFmt w:val="lowerLetter"/>
      <w:lvlText w:val="%5."/>
      <w:lvlJc w:val="left"/>
      <w:pPr>
        <w:tabs>
          <w:tab w:val="num" w:pos="3600"/>
        </w:tabs>
        <w:ind w:left="3600" w:hanging="360"/>
      </w:pPr>
    </w:lvl>
    <w:lvl w:ilvl="5" w:tplc="FDEE39D4" w:tentative="1">
      <w:start w:val="1"/>
      <w:numFmt w:val="lowerRoman"/>
      <w:lvlText w:val="%6."/>
      <w:lvlJc w:val="right"/>
      <w:pPr>
        <w:tabs>
          <w:tab w:val="num" w:pos="4320"/>
        </w:tabs>
        <w:ind w:left="4320" w:hanging="180"/>
      </w:pPr>
    </w:lvl>
    <w:lvl w:ilvl="6" w:tplc="F85EBF2A" w:tentative="1">
      <w:start w:val="1"/>
      <w:numFmt w:val="decimal"/>
      <w:lvlText w:val="%7."/>
      <w:lvlJc w:val="left"/>
      <w:pPr>
        <w:tabs>
          <w:tab w:val="num" w:pos="5040"/>
        </w:tabs>
        <w:ind w:left="5040" w:hanging="360"/>
      </w:pPr>
    </w:lvl>
    <w:lvl w:ilvl="7" w:tplc="22BAA3A2" w:tentative="1">
      <w:start w:val="1"/>
      <w:numFmt w:val="lowerLetter"/>
      <w:lvlText w:val="%8."/>
      <w:lvlJc w:val="left"/>
      <w:pPr>
        <w:tabs>
          <w:tab w:val="num" w:pos="5760"/>
        </w:tabs>
        <w:ind w:left="5760" w:hanging="360"/>
      </w:pPr>
    </w:lvl>
    <w:lvl w:ilvl="8" w:tplc="F31C0D0A" w:tentative="1">
      <w:start w:val="1"/>
      <w:numFmt w:val="lowerRoman"/>
      <w:lvlText w:val="%9."/>
      <w:lvlJc w:val="right"/>
      <w:pPr>
        <w:tabs>
          <w:tab w:val="num" w:pos="6480"/>
        </w:tabs>
        <w:ind w:left="6480" w:hanging="180"/>
      </w:pPr>
    </w:lvl>
  </w:abstractNum>
  <w:abstractNum w:abstractNumId="26">
    <w:nsid w:val="7B803F8C"/>
    <w:multiLevelType w:val="hybridMultilevel"/>
    <w:tmpl w:val="29843874"/>
    <w:lvl w:ilvl="0" w:tplc="4E52F386">
      <w:start w:val="1"/>
      <w:numFmt w:val="lowerLetter"/>
      <w:lvlText w:val="%1."/>
      <w:lvlJc w:val="left"/>
      <w:pPr>
        <w:tabs>
          <w:tab w:val="num" w:pos="1440"/>
        </w:tabs>
        <w:ind w:left="1440" w:hanging="360"/>
      </w:pPr>
      <w:rPr>
        <w:rFonts w:hint="default"/>
      </w:rPr>
    </w:lvl>
    <w:lvl w:ilvl="1" w:tplc="04090019">
      <w:start w:val="1"/>
      <w:numFmt w:val="lowerLetter"/>
      <w:pStyle w:val="CEOindent-abc"/>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7BFD764C"/>
    <w:multiLevelType w:val="multilevel"/>
    <w:tmpl w:val="A59828A6"/>
    <w:styleLink w:val="HIPBulletsHierarchy"/>
    <w:lvl w:ilvl="0">
      <w:start w:val="1"/>
      <w:numFmt w:val="bullet"/>
      <w:suff w:val="space"/>
      <w:lvlText w:val=""/>
      <w:lvlJc w:val="left"/>
      <w:pPr>
        <w:ind w:left="360" w:hanging="360"/>
      </w:pPr>
      <w:rPr>
        <w:rFonts w:ascii="Symbol" w:hAnsi="Symbol" w:hint="default"/>
        <w:b/>
        <w:color w:val="008000"/>
        <w:sz w:val="22"/>
        <w:szCs w:val="22"/>
      </w:rPr>
    </w:lvl>
    <w:lvl w:ilvl="1">
      <w:start w:val="1"/>
      <w:numFmt w:val="bullet"/>
      <w:suff w:val="space"/>
      <w:lvlText w:val=""/>
      <w:lvlJc w:val="left"/>
      <w:pPr>
        <w:ind w:left="720" w:hanging="360"/>
      </w:pPr>
      <w:rPr>
        <w:rFonts w:ascii="Symbol" w:hAnsi="Symbol" w:hint="default"/>
        <w:b w:val="0"/>
        <w:i w:val="0"/>
        <w:color w:val="auto"/>
        <w:sz w:val="22"/>
      </w:rPr>
    </w:lvl>
    <w:lvl w:ilvl="2">
      <w:start w:val="1"/>
      <w:numFmt w:val="bullet"/>
      <w:suff w:val="nothing"/>
      <w:lvlText w:val="−"/>
      <w:lvlJc w:val="left"/>
      <w:pPr>
        <w:ind w:left="1080" w:hanging="360"/>
      </w:pPr>
      <w:rPr>
        <w:rFonts w:ascii="Helvetica" w:hAnsi="Helvetica" w:cs="Times New Roman" w:hint="default"/>
        <w:b/>
        <w:i w:val="0"/>
        <w:sz w:val="22"/>
        <w:szCs w:val="22"/>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num w:numId="1">
    <w:abstractNumId w:val="24"/>
    <w:lvlOverride w:ilvl="0">
      <w:lvl w:ilvl="0">
        <w:numFmt w:val="decimal"/>
        <w:lvlText w:val=""/>
        <w:lvlJc w:val="left"/>
      </w:lvl>
    </w:lvlOverride>
    <w:lvlOverride w:ilvl="1">
      <w:lvl w:ilvl="1">
        <w:start w:val="1"/>
        <w:numFmt w:val="none"/>
        <w:suff w:val="space"/>
        <w:lvlText w:val="&gt;"/>
        <w:lvlJc w:val="left"/>
        <w:pPr>
          <w:ind w:left="0" w:firstLine="0"/>
        </w:pPr>
        <w:rPr>
          <w:rFonts w:ascii="Zurich UBlkEx BT" w:hAnsi="Zurich UBlkEx BT" w:hint="default"/>
          <w:b/>
          <w:i w:val="0"/>
          <w:color w:val="E36C0A" w:themeColor="accent6" w:themeShade="BF"/>
          <w:sz w:val="20"/>
          <w:szCs w:val="20"/>
        </w:rPr>
      </w:lvl>
    </w:lvlOverride>
    <w:lvlOverride w:ilvl="2">
      <w:lvl w:ilvl="2">
        <w:start w:val="1"/>
        <w:numFmt w:val="decimal"/>
        <w:suff w:val="space"/>
        <w:lvlText w:val="%3"/>
        <w:lvlJc w:val="left"/>
        <w:pPr>
          <w:ind w:left="0" w:firstLine="0"/>
        </w:pPr>
        <w:rPr>
          <w:rFonts w:ascii="Zurich UBlkEx BT" w:hAnsi="Zurich UBlkEx BT" w:hint="default"/>
          <w:b w:val="0"/>
          <w:bCs w:val="0"/>
          <w:i w:val="0"/>
          <w:color w:val="00589F"/>
          <w:sz w:val="20"/>
          <w:szCs w:val="20"/>
        </w:rPr>
      </w:lvl>
    </w:lvlOverride>
    <w:lvlOverride w:ilvl="3">
      <w:lvl w:ilvl="3">
        <w:start w:val="1"/>
        <w:numFmt w:val="decimal"/>
        <w:suff w:val="space"/>
        <w:lvlText w:val="%3.%4"/>
        <w:lvlJc w:val="left"/>
        <w:pPr>
          <w:ind w:left="142" w:firstLine="0"/>
        </w:pPr>
        <w:rPr>
          <w:rFonts w:ascii="Zurich UBlkEx BT" w:hAnsi="Zurich UBlkEx BT" w:hint="default"/>
          <w:b w:val="0"/>
          <w:i w:val="0"/>
          <w:iCs/>
          <w:color w:val="00589F"/>
          <w:sz w:val="20"/>
          <w:szCs w:val="20"/>
        </w:rPr>
      </w:lvl>
    </w:lvlOverride>
    <w:lvlOverride w:ilvl="4">
      <w:lvl w:ilvl="4">
        <w:start w:val="1"/>
        <w:numFmt w:val="decimal"/>
        <w:suff w:val="space"/>
        <w:lvlText w:val="%3.%4.%5"/>
        <w:lvlJc w:val="left"/>
        <w:pPr>
          <w:ind w:left="0" w:firstLine="0"/>
        </w:pPr>
        <w:rPr>
          <w:rFonts w:ascii="Zurich UBlkEx BT" w:hAnsi="Zurich UBlkEx BT" w:hint="default"/>
          <w:b w:val="0"/>
          <w:i w:val="0"/>
          <w:color w:val="00589F"/>
          <w:sz w:val="20"/>
          <w:szCs w:val="20"/>
        </w:rPr>
      </w:lvl>
    </w:lvlOverride>
    <w:lvlOverride w:ilvl="5">
      <w:lvl w:ilvl="5">
        <w:start w:val="1"/>
        <w:numFmt w:val="decimal"/>
        <w:suff w:val="space"/>
        <w:lvlText w:val="%3.%4.%5.%6"/>
        <w:lvlJc w:val="left"/>
        <w:pPr>
          <w:ind w:left="0" w:firstLine="0"/>
        </w:pPr>
        <w:rPr>
          <w:rFonts w:ascii="Zurich UBlkEx BT" w:hAnsi="Zurich UBlkEx BT" w:hint="default"/>
          <w:b w:val="0"/>
          <w:i w:val="0"/>
          <w:iCs/>
          <w:color w:val="E36C0A" w:themeColor="accent6" w:themeShade="BF"/>
          <w:sz w:val="20"/>
          <w:szCs w:val="20"/>
        </w:rPr>
      </w:lvl>
    </w:lvlOverride>
  </w:num>
  <w:num w:numId="2">
    <w:abstractNumId w:val="27"/>
  </w:num>
  <w:num w:numId="3">
    <w:abstractNumId w:val="24"/>
  </w:num>
  <w:num w:numId="4">
    <w:abstractNumId w:val="10"/>
  </w:num>
  <w:num w:numId="5">
    <w:abstractNumId w:val="25"/>
  </w:num>
  <w:num w:numId="6">
    <w:abstractNumId w:val="1"/>
  </w:num>
  <w:num w:numId="7">
    <w:abstractNumId w:val="26"/>
  </w:num>
  <w:num w:numId="8">
    <w:abstractNumId w:val="21"/>
  </w:num>
  <w:num w:numId="9">
    <w:abstractNumId w:val="5"/>
  </w:num>
  <w:num w:numId="10">
    <w:abstractNumId w:val="18"/>
  </w:num>
  <w:num w:numId="11">
    <w:abstractNumId w:val="19"/>
  </w:num>
  <w:num w:numId="12">
    <w:abstractNumId w:val="6"/>
  </w:num>
  <w:num w:numId="13">
    <w:abstractNumId w:val="8"/>
  </w:num>
  <w:num w:numId="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
  </w:num>
  <w:num w:numId="1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num>
  <w:num w:numId="22">
    <w:abstractNumId w:val="15"/>
  </w:num>
  <w:num w:numId="23">
    <w:abstractNumId w:val="4"/>
  </w:num>
  <w:num w:numId="24">
    <w:abstractNumId w:val="23"/>
  </w:num>
  <w:num w:numId="25">
    <w:abstractNumId w:val="22"/>
  </w:num>
  <w:num w:numId="26">
    <w:abstractNumId w:val="9"/>
  </w:num>
  <w:num w:numId="27">
    <w:abstractNumId w:val="14"/>
  </w:num>
  <w:num w:numId="28">
    <w:abstractNumId w:val="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TrueTypeFonts/>
  <w:saveSubsetFonts/>
  <w:activeWritingStyle w:appName="MSWord" w:lang="fr-FR" w:vendorID="64" w:dllVersion="131078" w:nlCheck="1" w:checkStyle="1"/>
  <w:activeWritingStyle w:appName="MSWord" w:lang="en-GB" w:vendorID="64" w:dllVersion="131078" w:nlCheck="1" w:checkStyle="1"/>
  <w:activeWritingStyle w:appName="MSWord" w:lang="es-ES"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CH" w:vendorID="64" w:dllVersion="131078" w:nlCheck="1" w:checkStyle="1"/>
  <w:activeWritingStyle w:appName="MSWord" w:lang="en-TT" w:vendorID="64" w:dllVersion="131078" w:nlCheck="1" w:checkStyle="1"/>
  <w:activeWritingStyle w:appName="MSWord" w:lang="en-029" w:vendorID="64" w:dllVersion="131078" w:nlCheck="1" w:checkStyle="1"/>
  <w:activeWritingStyle w:appName="MSWord" w:lang="en-AU" w:vendorID="64" w:dllVersion="131078" w:nlCheck="1" w:checkStyle="1"/>
  <w:activeWritingStyle w:appName="MSWord" w:lang="en-CA" w:vendorID="64" w:dllVersion="131078" w:nlCheck="1" w:checkStyle="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evenAndOddHeaders/>
  <w:bookFoldPrintingSheets w:val="-4"/>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v:textbox style="layout-flow:vertical;mso-layout-flow-alt:bottom-to-top;mso-fit-shape-to-text:t"/>
      <o:colormru v:ext="edit" colors="#36c,#039"/>
    </o:shapedefaults>
  </w:hdrShapeDefaults>
  <w:footnotePr>
    <w:footnote w:id="-1"/>
    <w:footnote w:id="0"/>
    <w:footnote w:id="1"/>
  </w:footnotePr>
  <w:endnotePr>
    <w:numFmt w:val="decimal"/>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428C"/>
    <w:rsid w:val="000012C8"/>
    <w:rsid w:val="0000259F"/>
    <w:rsid w:val="00004160"/>
    <w:rsid w:val="00010631"/>
    <w:rsid w:val="00010EEB"/>
    <w:rsid w:val="000135A4"/>
    <w:rsid w:val="00013D6F"/>
    <w:rsid w:val="00013E61"/>
    <w:rsid w:val="00014A90"/>
    <w:rsid w:val="00014F17"/>
    <w:rsid w:val="00017323"/>
    <w:rsid w:val="00017645"/>
    <w:rsid w:val="00021824"/>
    <w:rsid w:val="000233CA"/>
    <w:rsid w:val="00023A85"/>
    <w:rsid w:val="0002438D"/>
    <w:rsid w:val="000251E5"/>
    <w:rsid w:val="0002550A"/>
    <w:rsid w:val="000273F7"/>
    <w:rsid w:val="000304CD"/>
    <w:rsid w:val="00030772"/>
    <w:rsid w:val="00031084"/>
    <w:rsid w:val="00031CA2"/>
    <w:rsid w:val="00032FAD"/>
    <w:rsid w:val="00033090"/>
    <w:rsid w:val="00040A84"/>
    <w:rsid w:val="00041301"/>
    <w:rsid w:val="00041568"/>
    <w:rsid w:val="0004319A"/>
    <w:rsid w:val="0004551C"/>
    <w:rsid w:val="00045DD6"/>
    <w:rsid w:val="00047D3C"/>
    <w:rsid w:val="0005154A"/>
    <w:rsid w:val="00051DDE"/>
    <w:rsid w:val="00054056"/>
    <w:rsid w:val="000541C8"/>
    <w:rsid w:val="000608E4"/>
    <w:rsid w:val="000614AD"/>
    <w:rsid w:val="0006382C"/>
    <w:rsid w:val="000650DC"/>
    <w:rsid w:val="00066280"/>
    <w:rsid w:val="00070E31"/>
    <w:rsid w:val="00075AFE"/>
    <w:rsid w:val="000771E8"/>
    <w:rsid w:val="00077618"/>
    <w:rsid w:val="00077AAE"/>
    <w:rsid w:val="00077DE6"/>
    <w:rsid w:val="000806FF"/>
    <w:rsid w:val="00081922"/>
    <w:rsid w:val="000838A3"/>
    <w:rsid w:val="00085DF4"/>
    <w:rsid w:val="00087A33"/>
    <w:rsid w:val="0009006B"/>
    <w:rsid w:val="0009019D"/>
    <w:rsid w:val="00092B20"/>
    <w:rsid w:val="00093E66"/>
    <w:rsid w:val="00094963"/>
    <w:rsid w:val="00096433"/>
    <w:rsid w:val="00096922"/>
    <w:rsid w:val="0009716E"/>
    <w:rsid w:val="00097207"/>
    <w:rsid w:val="00097422"/>
    <w:rsid w:val="00097540"/>
    <w:rsid w:val="000A14B5"/>
    <w:rsid w:val="000A2221"/>
    <w:rsid w:val="000A316D"/>
    <w:rsid w:val="000A3DF3"/>
    <w:rsid w:val="000A55BE"/>
    <w:rsid w:val="000A67CB"/>
    <w:rsid w:val="000A71D3"/>
    <w:rsid w:val="000B40AB"/>
    <w:rsid w:val="000B4536"/>
    <w:rsid w:val="000C0181"/>
    <w:rsid w:val="000C0D53"/>
    <w:rsid w:val="000C36E9"/>
    <w:rsid w:val="000C58D2"/>
    <w:rsid w:val="000D0DCD"/>
    <w:rsid w:val="000D0F63"/>
    <w:rsid w:val="000D44B1"/>
    <w:rsid w:val="000E0B5F"/>
    <w:rsid w:val="000E0B68"/>
    <w:rsid w:val="000E2EB3"/>
    <w:rsid w:val="000E54EF"/>
    <w:rsid w:val="000E5D70"/>
    <w:rsid w:val="000E6BF2"/>
    <w:rsid w:val="000F0388"/>
    <w:rsid w:val="000F16CC"/>
    <w:rsid w:val="000F200B"/>
    <w:rsid w:val="000F5307"/>
    <w:rsid w:val="000F63FC"/>
    <w:rsid w:val="000F7594"/>
    <w:rsid w:val="00100263"/>
    <w:rsid w:val="00100D4C"/>
    <w:rsid w:val="001016E4"/>
    <w:rsid w:val="00102B2A"/>
    <w:rsid w:val="0010381E"/>
    <w:rsid w:val="00103A5D"/>
    <w:rsid w:val="0010485E"/>
    <w:rsid w:val="00104860"/>
    <w:rsid w:val="00104DB4"/>
    <w:rsid w:val="001071F8"/>
    <w:rsid w:val="00110706"/>
    <w:rsid w:val="00111CA1"/>
    <w:rsid w:val="001131CF"/>
    <w:rsid w:val="00113F18"/>
    <w:rsid w:val="0011585A"/>
    <w:rsid w:val="00115C81"/>
    <w:rsid w:val="0011701B"/>
    <w:rsid w:val="00117759"/>
    <w:rsid w:val="001178D8"/>
    <w:rsid w:val="00121F29"/>
    <w:rsid w:val="00121F59"/>
    <w:rsid w:val="001227E0"/>
    <w:rsid w:val="001239C8"/>
    <w:rsid w:val="00125968"/>
    <w:rsid w:val="001259E5"/>
    <w:rsid w:val="00126318"/>
    <w:rsid w:val="0012680A"/>
    <w:rsid w:val="00126A1E"/>
    <w:rsid w:val="00127AD9"/>
    <w:rsid w:val="001323E2"/>
    <w:rsid w:val="00132571"/>
    <w:rsid w:val="00132ECE"/>
    <w:rsid w:val="001330A4"/>
    <w:rsid w:val="00133CDA"/>
    <w:rsid w:val="00133E27"/>
    <w:rsid w:val="00134C5A"/>
    <w:rsid w:val="00135581"/>
    <w:rsid w:val="00136E05"/>
    <w:rsid w:val="00137D83"/>
    <w:rsid w:val="00143C19"/>
    <w:rsid w:val="00143D5F"/>
    <w:rsid w:val="00146207"/>
    <w:rsid w:val="00153FA8"/>
    <w:rsid w:val="001542B4"/>
    <w:rsid w:val="00155B28"/>
    <w:rsid w:val="00156EAF"/>
    <w:rsid w:val="00163055"/>
    <w:rsid w:val="00163120"/>
    <w:rsid w:val="00163F1C"/>
    <w:rsid w:val="00164580"/>
    <w:rsid w:val="00166796"/>
    <w:rsid w:val="00167C0D"/>
    <w:rsid w:val="001701B3"/>
    <w:rsid w:val="0017095C"/>
    <w:rsid w:val="00170BDD"/>
    <w:rsid w:val="00171C2C"/>
    <w:rsid w:val="00171DA3"/>
    <w:rsid w:val="00172563"/>
    <w:rsid w:val="0017278E"/>
    <w:rsid w:val="001733CD"/>
    <w:rsid w:val="001734FD"/>
    <w:rsid w:val="00173B4B"/>
    <w:rsid w:val="001743FA"/>
    <w:rsid w:val="001752B0"/>
    <w:rsid w:val="0017654F"/>
    <w:rsid w:val="00176A68"/>
    <w:rsid w:val="00176F25"/>
    <w:rsid w:val="0017756B"/>
    <w:rsid w:val="00180929"/>
    <w:rsid w:val="00180969"/>
    <w:rsid w:val="00180D80"/>
    <w:rsid w:val="00183C1E"/>
    <w:rsid w:val="00185CE5"/>
    <w:rsid w:val="00186507"/>
    <w:rsid w:val="001878E0"/>
    <w:rsid w:val="0019104B"/>
    <w:rsid w:val="00192284"/>
    <w:rsid w:val="00193E6A"/>
    <w:rsid w:val="00195040"/>
    <w:rsid w:val="00197038"/>
    <w:rsid w:val="001A07A9"/>
    <w:rsid w:val="001A43E1"/>
    <w:rsid w:val="001A4C73"/>
    <w:rsid w:val="001A6578"/>
    <w:rsid w:val="001A768A"/>
    <w:rsid w:val="001A7B18"/>
    <w:rsid w:val="001B0B8D"/>
    <w:rsid w:val="001B0B90"/>
    <w:rsid w:val="001B150C"/>
    <w:rsid w:val="001B1836"/>
    <w:rsid w:val="001B29B0"/>
    <w:rsid w:val="001B2AF2"/>
    <w:rsid w:val="001B3273"/>
    <w:rsid w:val="001B630A"/>
    <w:rsid w:val="001C035F"/>
    <w:rsid w:val="001C2C22"/>
    <w:rsid w:val="001C3365"/>
    <w:rsid w:val="001C33A5"/>
    <w:rsid w:val="001C476E"/>
    <w:rsid w:val="001C52ED"/>
    <w:rsid w:val="001C7095"/>
    <w:rsid w:val="001C70BF"/>
    <w:rsid w:val="001D09C9"/>
    <w:rsid w:val="001D4147"/>
    <w:rsid w:val="001D55D5"/>
    <w:rsid w:val="001D6A6E"/>
    <w:rsid w:val="001D6DB6"/>
    <w:rsid w:val="001D795A"/>
    <w:rsid w:val="001E0DF9"/>
    <w:rsid w:val="001E1D38"/>
    <w:rsid w:val="001E6535"/>
    <w:rsid w:val="001F17CE"/>
    <w:rsid w:val="001F39FB"/>
    <w:rsid w:val="001F5A63"/>
    <w:rsid w:val="00203686"/>
    <w:rsid w:val="00203D84"/>
    <w:rsid w:val="00205608"/>
    <w:rsid w:val="0020793F"/>
    <w:rsid w:val="00207DF0"/>
    <w:rsid w:val="0021014A"/>
    <w:rsid w:val="00211EAC"/>
    <w:rsid w:val="00213B47"/>
    <w:rsid w:val="00217FBE"/>
    <w:rsid w:val="002208F5"/>
    <w:rsid w:val="00225A80"/>
    <w:rsid w:val="0022728A"/>
    <w:rsid w:val="00233DCE"/>
    <w:rsid w:val="00234683"/>
    <w:rsid w:val="00234760"/>
    <w:rsid w:val="00234E6B"/>
    <w:rsid w:val="00236A97"/>
    <w:rsid w:val="002375B2"/>
    <w:rsid w:val="0024213C"/>
    <w:rsid w:val="00243015"/>
    <w:rsid w:val="002438AC"/>
    <w:rsid w:val="00245509"/>
    <w:rsid w:val="0024564C"/>
    <w:rsid w:val="00246157"/>
    <w:rsid w:val="00246785"/>
    <w:rsid w:val="00247767"/>
    <w:rsid w:val="00250D23"/>
    <w:rsid w:val="0025181A"/>
    <w:rsid w:val="002556EB"/>
    <w:rsid w:val="00256167"/>
    <w:rsid w:val="002566CE"/>
    <w:rsid w:val="00256912"/>
    <w:rsid w:val="00256BEA"/>
    <w:rsid w:val="0026112D"/>
    <w:rsid w:val="00262366"/>
    <w:rsid w:val="00262368"/>
    <w:rsid w:val="0027124D"/>
    <w:rsid w:val="0027160A"/>
    <w:rsid w:val="0027183A"/>
    <w:rsid w:val="00271D36"/>
    <w:rsid w:val="00271E9F"/>
    <w:rsid w:val="00273758"/>
    <w:rsid w:val="002737B9"/>
    <w:rsid w:val="002737D1"/>
    <w:rsid w:val="00274D96"/>
    <w:rsid w:val="00276335"/>
    <w:rsid w:val="00277526"/>
    <w:rsid w:val="00284FE7"/>
    <w:rsid w:val="002856AB"/>
    <w:rsid w:val="00286EA0"/>
    <w:rsid w:val="00291073"/>
    <w:rsid w:val="00291A51"/>
    <w:rsid w:val="00292D79"/>
    <w:rsid w:val="00292E99"/>
    <w:rsid w:val="0029306D"/>
    <w:rsid w:val="002933A3"/>
    <w:rsid w:val="00295040"/>
    <w:rsid w:val="002950DF"/>
    <w:rsid w:val="002A0464"/>
    <w:rsid w:val="002A12C3"/>
    <w:rsid w:val="002A46C4"/>
    <w:rsid w:val="002A5724"/>
    <w:rsid w:val="002A733E"/>
    <w:rsid w:val="002A778B"/>
    <w:rsid w:val="002B15C5"/>
    <w:rsid w:val="002B2394"/>
    <w:rsid w:val="002B44A9"/>
    <w:rsid w:val="002B493E"/>
    <w:rsid w:val="002B5674"/>
    <w:rsid w:val="002B595B"/>
    <w:rsid w:val="002B75C1"/>
    <w:rsid w:val="002B79D1"/>
    <w:rsid w:val="002B7FA8"/>
    <w:rsid w:val="002C05D3"/>
    <w:rsid w:val="002C087E"/>
    <w:rsid w:val="002C1A49"/>
    <w:rsid w:val="002C23FD"/>
    <w:rsid w:val="002C30D6"/>
    <w:rsid w:val="002C40A6"/>
    <w:rsid w:val="002D01EA"/>
    <w:rsid w:val="002D0C3E"/>
    <w:rsid w:val="002D17FF"/>
    <w:rsid w:val="002D26DA"/>
    <w:rsid w:val="002D4CC9"/>
    <w:rsid w:val="002D6E23"/>
    <w:rsid w:val="002D720D"/>
    <w:rsid w:val="002E0961"/>
    <w:rsid w:val="002E1C89"/>
    <w:rsid w:val="002E2818"/>
    <w:rsid w:val="002E3A9C"/>
    <w:rsid w:val="002E40A7"/>
    <w:rsid w:val="002E4E79"/>
    <w:rsid w:val="002E4EE1"/>
    <w:rsid w:val="002E7C9C"/>
    <w:rsid w:val="002F0446"/>
    <w:rsid w:val="002F1FD2"/>
    <w:rsid w:val="002F3EB3"/>
    <w:rsid w:val="002F4126"/>
    <w:rsid w:val="002F6FFC"/>
    <w:rsid w:val="002F73D3"/>
    <w:rsid w:val="003000B4"/>
    <w:rsid w:val="003007A7"/>
    <w:rsid w:val="00300A43"/>
    <w:rsid w:val="003010AB"/>
    <w:rsid w:val="00302A0A"/>
    <w:rsid w:val="00304068"/>
    <w:rsid w:val="0030419C"/>
    <w:rsid w:val="00305EA5"/>
    <w:rsid w:val="00310639"/>
    <w:rsid w:val="003132E0"/>
    <w:rsid w:val="003141DE"/>
    <w:rsid w:val="00316A00"/>
    <w:rsid w:val="0031767B"/>
    <w:rsid w:val="00317F8D"/>
    <w:rsid w:val="00324561"/>
    <w:rsid w:val="003245F8"/>
    <w:rsid w:val="00325DD9"/>
    <w:rsid w:val="00330C99"/>
    <w:rsid w:val="003315A1"/>
    <w:rsid w:val="00332AB2"/>
    <w:rsid w:val="00332E08"/>
    <w:rsid w:val="00333DEF"/>
    <w:rsid w:val="003340DD"/>
    <w:rsid w:val="003369B6"/>
    <w:rsid w:val="00337A3D"/>
    <w:rsid w:val="00337B05"/>
    <w:rsid w:val="0034180A"/>
    <w:rsid w:val="00344375"/>
    <w:rsid w:val="0034527B"/>
    <w:rsid w:val="00345977"/>
    <w:rsid w:val="003459B2"/>
    <w:rsid w:val="0035061D"/>
    <w:rsid w:val="00350AE1"/>
    <w:rsid w:val="003512B6"/>
    <w:rsid w:val="00352AE4"/>
    <w:rsid w:val="0035621A"/>
    <w:rsid w:val="0035666B"/>
    <w:rsid w:val="003577EF"/>
    <w:rsid w:val="0036024D"/>
    <w:rsid w:val="003605D0"/>
    <w:rsid w:val="0036211D"/>
    <w:rsid w:val="00362FFF"/>
    <w:rsid w:val="003633BA"/>
    <w:rsid w:val="00363C83"/>
    <w:rsid w:val="003647EF"/>
    <w:rsid w:val="003650C0"/>
    <w:rsid w:val="003664F2"/>
    <w:rsid w:val="00367032"/>
    <w:rsid w:val="003703C0"/>
    <w:rsid w:val="003707AC"/>
    <w:rsid w:val="003723AB"/>
    <w:rsid w:val="0037334A"/>
    <w:rsid w:val="00373A5A"/>
    <w:rsid w:val="00375AAF"/>
    <w:rsid w:val="00377BD7"/>
    <w:rsid w:val="00382B6B"/>
    <w:rsid w:val="00383BD1"/>
    <w:rsid w:val="00383FF6"/>
    <w:rsid w:val="00384D7C"/>
    <w:rsid w:val="00385DD4"/>
    <w:rsid w:val="00386439"/>
    <w:rsid w:val="003913F2"/>
    <w:rsid w:val="00395676"/>
    <w:rsid w:val="0039683A"/>
    <w:rsid w:val="00396A3C"/>
    <w:rsid w:val="003A02C1"/>
    <w:rsid w:val="003A1978"/>
    <w:rsid w:val="003A3224"/>
    <w:rsid w:val="003A39F7"/>
    <w:rsid w:val="003A4C99"/>
    <w:rsid w:val="003A4F4E"/>
    <w:rsid w:val="003B018F"/>
    <w:rsid w:val="003B1976"/>
    <w:rsid w:val="003B7043"/>
    <w:rsid w:val="003C1287"/>
    <w:rsid w:val="003C1570"/>
    <w:rsid w:val="003C2542"/>
    <w:rsid w:val="003C4176"/>
    <w:rsid w:val="003C4261"/>
    <w:rsid w:val="003C4ED6"/>
    <w:rsid w:val="003C5D30"/>
    <w:rsid w:val="003C6B37"/>
    <w:rsid w:val="003C7C81"/>
    <w:rsid w:val="003D213F"/>
    <w:rsid w:val="003D23ED"/>
    <w:rsid w:val="003D5315"/>
    <w:rsid w:val="003D663E"/>
    <w:rsid w:val="003D67E8"/>
    <w:rsid w:val="003E2209"/>
    <w:rsid w:val="003E2368"/>
    <w:rsid w:val="003E3CD1"/>
    <w:rsid w:val="003E52C2"/>
    <w:rsid w:val="003E7BFD"/>
    <w:rsid w:val="003F433C"/>
    <w:rsid w:val="003F5733"/>
    <w:rsid w:val="003F5945"/>
    <w:rsid w:val="003F5FD0"/>
    <w:rsid w:val="003F6086"/>
    <w:rsid w:val="00402A02"/>
    <w:rsid w:val="00402A24"/>
    <w:rsid w:val="0040368C"/>
    <w:rsid w:val="00403C81"/>
    <w:rsid w:val="00403F4F"/>
    <w:rsid w:val="0040406E"/>
    <w:rsid w:val="004041D4"/>
    <w:rsid w:val="00404EDC"/>
    <w:rsid w:val="00406E30"/>
    <w:rsid w:val="00411536"/>
    <w:rsid w:val="0041170E"/>
    <w:rsid w:val="00411F98"/>
    <w:rsid w:val="00412B2E"/>
    <w:rsid w:val="0042073F"/>
    <w:rsid w:val="00424792"/>
    <w:rsid w:val="00424D86"/>
    <w:rsid w:val="004251B1"/>
    <w:rsid w:val="004268E9"/>
    <w:rsid w:val="0042751A"/>
    <w:rsid w:val="004324DD"/>
    <w:rsid w:val="00433527"/>
    <w:rsid w:val="0043453F"/>
    <w:rsid w:val="004359FB"/>
    <w:rsid w:val="00441D1F"/>
    <w:rsid w:val="00441ED5"/>
    <w:rsid w:val="004439F5"/>
    <w:rsid w:val="004449BD"/>
    <w:rsid w:val="00444AA0"/>
    <w:rsid w:val="00445DD4"/>
    <w:rsid w:val="00446E47"/>
    <w:rsid w:val="004513F0"/>
    <w:rsid w:val="00452B5A"/>
    <w:rsid w:val="00453989"/>
    <w:rsid w:val="00453C8E"/>
    <w:rsid w:val="004542E7"/>
    <w:rsid w:val="00455426"/>
    <w:rsid w:val="00455EC2"/>
    <w:rsid w:val="0045756A"/>
    <w:rsid w:val="0046015E"/>
    <w:rsid w:val="004621F9"/>
    <w:rsid w:val="00463650"/>
    <w:rsid w:val="00463DA1"/>
    <w:rsid w:val="0046428B"/>
    <w:rsid w:val="00464BCC"/>
    <w:rsid w:val="00465064"/>
    <w:rsid w:val="00465E86"/>
    <w:rsid w:val="004670E1"/>
    <w:rsid w:val="0046715B"/>
    <w:rsid w:val="00471F49"/>
    <w:rsid w:val="00472BDE"/>
    <w:rsid w:val="00473B2A"/>
    <w:rsid w:val="004742CE"/>
    <w:rsid w:val="0047647C"/>
    <w:rsid w:val="00476DEE"/>
    <w:rsid w:val="004809D6"/>
    <w:rsid w:val="004834C6"/>
    <w:rsid w:val="00483AD7"/>
    <w:rsid w:val="0048538A"/>
    <w:rsid w:val="00485626"/>
    <w:rsid w:val="004866ED"/>
    <w:rsid w:val="0048705D"/>
    <w:rsid w:val="00487149"/>
    <w:rsid w:val="00490E38"/>
    <w:rsid w:val="004941E7"/>
    <w:rsid w:val="004A0C27"/>
    <w:rsid w:val="004A0FC5"/>
    <w:rsid w:val="004A3217"/>
    <w:rsid w:val="004A3FC4"/>
    <w:rsid w:val="004A718F"/>
    <w:rsid w:val="004A7326"/>
    <w:rsid w:val="004B0478"/>
    <w:rsid w:val="004B080D"/>
    <w:rsid w:val="004B0A0B"/>
    <w:rsid w:val="004B39FB"/>
    <w:rsid w:val="004B47C7"/>
    <w:rsid w:val="004B5B17"/>
    <w:rsid w:val="004B6316"/>
    <w:rsid w:val="004B6BC1"/>
    <w:rsid w:val="004C02FE"/>
    <w:rsid w:val="004C03AA"/>
    <w:rsid w:val="004C0A95"/>
    <w:rsid w:val="004C1866"/>
    <w:rsid w:val="004C5178"/>
    <w:rsid w:val="004C58A8"/>
    <w:rsid w:val="004C71E0"/>
    <w:rsid w:val="004D1772"/>
    <w:rsid w:val="004D28F5"/>
    <w:rsid w:val="004D32FE"/>
    <w:rsid w:val="004D4A59"/>
    <w:rsid w:val="004D52A2"/>
    <w:rsid w:val="004D6E14"/>
    <w:rsid w:val="004D7284"/>
    <w:rsid w:val="004E073F"/>
    <w:rsid w:val="004E0ED6"/>
    <w:rsid w:val="004E3AA9"/>
    <w:rsid w:val="004E471F"/>
    <w:rsid w:val="004E5215"/>
    <w:rsid w:val="004E532D"/>
    <w:rsid w:val="004E5B2C"/>
    <w:rsid w:val="004E65E6"/>
    <w:rsid w:val="004E6D70"/>
    <w:rsid w:val="004F1F13"/>
    <w:rsid w:val="004F2132"/>
    <w:rsid w:val="004F381D"/>
    <w:rsid w:val="00501643"/>
    <w:rsid w:val="005027B2"/>
    <w:rsid w:val="00502C37"/>
    <w:rsid w:val="005046AF"/>
    <w:rsid w:val="00506702"/>
    <w:rsid w:val="0050674F"/>
    <w:rsid w:val="0051048D"/>
    <w:rsid w:val="00512B7A"/>
    <w:rsid w:val="00515A6A"/>
    <w:rsid w:val="00516846"/>
    <w:rsid w:val="00520948"/>
    <w:rsid w:val="00522DCF"/>
    <w:rsid w:val="00524F62"/>
    <w:rsid w:val="00526074"/>
    <w:rsid w:val="00526F93"/>
    <w:rsid w:val="00532850"/>
    <w:rsid w:val="00537DC3"/>
    <w:rsid w:val="00541179"/>
    <w:rsid w:val="00543044"/>
    <w:rsid w:val="00543AEE"/>
    <w:rsid w:val="00544349"/>
    <w:rsid w:val="00544466"/>
    <w:rsid w:val="00545F0D"/>
    <w:rsid w:val="00547F5F"/>
    <w:rsid w:val="0055091B"/>
    <w:rsid w:val="00551995"/>
    <w:rsid w:val="0055324C"/>
    <w:rsid w:val="005546CB"/>
    <w:rsid w:val="00557363"/>
    <w:rsid w:val="00560106"/>
    <w:rsid w:val="00567EAE"/>
    <w:rsid w:val="005702C2"/>
    <w:rsid w:val="00570B59"/>
    <w:rsid w:val="00571155"/>
    <w:rsid w:val="00571B3E"/>
    <w:rsid w:val="00572079"/>
    <w:rsid w:val="00572232"/>
    <w:rsid w:val="005732BE"/>
    <w:rsid w:val="0057653E"/>
    <w:rsid w:val="0058130F"/>
    <w:rsid w:val="00581449"/>
    <w:rsid w:val="00581532"/>
    <w:rsid w:val="005815E2"/>
    <w:rsid w:val="005827CB"/>
    <w:rsid w:val="00584E81"/>
    <w:rsid w:val="00590CB1"/>
    <w:rsid w:val="0059184A"/>
    <w:rsid w:val="0059653A"/>
    <w:rsid w:val="005965AD"/>
    <w:rsid w:val="00597DC2"/>
    <w:rsid w:val="005A07EF"/>
    <w:rsid w:val="005A2D39"/>
    <w:rsid w:val="005A46C7"/>
    <w:rsid w:val="005A6BF7"/>
    <w:rsid w:val="005B2283"/>
    <w:rsid w:val="005B7BB5"/>
    <w:rsid w:val="005C1B6E"/>
    <w:rsid w:val="005C33A1"/>
    <w:rsid w:val="005C371B"/>
    <w:rsid w:val="005C396D"/>
    <w:rsid w:val="005C39DC"/>
    <w:rsid w:val="005C3BEE"/>
    <w:rsid w:val="005C669F"/>
    <w:rsid w:val="005C6BDA"/>
    <w:rsid w:val="005D07AF"/>
    <w:rsid w:val="005D275B"/>
    <w:rsid w:val="005D36FF"/>
    <w:rsid w:val="005E0123"/>
    <w:rsid w:val="005E151F"/>
    <w:rsid w:val="005E1535"/>
    <w:rsid w:val="005E1D56"/>
    <w:rsid w:val="005E41C9"/>
    <w:rsid w:val="005E4A2C"/>
    <w:rsid w:val="005E5E28"/>
    <w:rsid w:val="005F2E51"/>
    <w:rsid w:val="005F33E1"/>
    <w:rsid w:val="005F357A"/>
    <w:rsid w:val="005F3B9D"/>
    <w:rsid w:val="005F56C9"/>
    <w:rsid w:val="005F5F85"/>
    <w:rsid w:val="005F64AB"/>
    <w:rsid w:val="005F787D"/>
    <w:rsid w:val="005F7A06"/>
    <w:rsid w:val="005F7AAC"/>
    <w:rsid w:val="00601C72"/>
    <w:rsid w:val="006023F3"/>
    <w:rsid w:val="00603C3C"/>
    <w:rsid w:val="00604691"/>
    <w:rsid w:val="00604F4D"/>
    <w:rsid w:val="00607F41"/>
    <w:rsid w:val="006104A4"/>
    <w:rsid w:val="00611B8A"/>
    <w:rsid w:val="00612A9D"/>
    <w:rsid w:val="006141CD"/>
    <w:rsid w:val="006153B5"/>
    <w:rsid w:val="006171A9"/>
    <w:rsid w:val="00617637"/>
    <w:rsid w:val="0062235F"/>
    <w:rsid w:val="00622694"/>
    <w:rsid w:val="006230C3"/>
    <w:rsid w:val="006258CA"/>
    <w:rsid w:val="006274CB"/>
    <w:rsid w:val="006274F7"/>
    <w:rsid w:val="006276FC"/>
    <w:rsid w:val="00627927"/>
    <w:rsid w:val="006319D2"/>
    <w:rsid w:val="00631A14"/>
    <w:rsid w:val="006344BB"/>
    <w:rsid w:val="00634F41"/>
    <w:rsid w:val="00635A76"/>
    <w:rsid w:val="0063644E"/>
    <w:rsid w:val="00641CB5"/>
    <w:rsid w:val="0064295F"/>
    <w:rsid w:val="00645569"/>
    <w:rsid w:val="00645C5A"/>
    <w:rsid w:val="00645FE2"/>
    <w:rsid w:val="00646133"/>
    <w:rsid w:val="00647454"/>
    <w:rsid w:val="006504A4"/>
    <w:rsid w:val="00652762"/>
    <w:rsid w:val="00652B2B"/>
    <w:rsid w:val="00653534"/>
    <w:rsid w:val="00653771"/>
    <w:rsid w:val="0065379A"/>
    <w:rsid w:val="00653B09"/>
    <w:rsid w:val="00653CE2"/>
    <w:rsid w:val="00655CBD"/>
    <w:rsid w:val="00655EB7"/>
    <w:rsid w:val="00656313"/>
    <w:rsid w:val="00656D4C"/>
    <w:rsid w:val="006570A8"/>
    <w:rsid w:val="00657F4B"/>
    <w:rsid w:val="0066095D"/>
    <w:rsid w:val="0066107A"/>
    <w:rsid w:val="00661A78"/>
    <w:rsid w:val="00662E9D"/>
    <w:rsid w:val="006630D2"/>
    <w:rsid w:val="00665EC4"/>
    <w:rsid w:val="006666B8"/>
    <w:rsid w:val="00671F7A"/>
    <w:rsid w:val="0067429A"/>
    <w:rsid w:val="00674332"/>
    <w:rsid w:val="00676F90"/>
    <w:rsid w:val="00677508"/>
    <w:rsid w:val="00680BAE"/>
    <w:rsid w:val="0068146F"/>
    <w:rsid w:val="006818E2"/>
    <w:rsid w:val="00684473"/>
    <w:rsid w:val="00685A47"/>
    <w:rsid w:val="00686CAB"/>
    <w:rsid w:val="00686D6F"/>
    <w:rsid w:val="006879C3"/>
    <w:rsid w:val="00691200"/>
    <w:rsid w:val="006915B8"/>
    <w:rsid w:val="00693D4E"/>
    <w:rsid w:val="00695FF7"/>
    <w:rsid w:val="00696AC6"/>
    <w:rsid w:val="006A03DB"/>
    <w:rsid w:val="006A30C4"/>
    <w:rsid w:val="006A365A"/>
    <w:rsid w:val="006A5E44"/>
    <w:rsid w:val="006A6170"/>
    <w:rsid w:val="006A7EBB"/>
    <w:rsid w:val="006B135F"/>
    <w:rsid w:val="006B19EA"/>
    <w:rsid w:val="006B2CF0"/>
    <w:rsid w:val="006B5A2F"/>
    <w:rsid w:val="006B74EE"/>
    <w:rsid w:val="006B7D4F"/>
    <w:rsid w:val="006C0A76"/>
    <w:rsid w:val="006C1356"/>
    <w:rsid w:val="006C197E"/>
    <w:rsid w:val="006C419A"/>
    <w:rsid w:val="006C5AA8"/>
    <w:rsid w:val="006C71F5"/>
    <w:rsid w:val="006D398F"/>
    <w:rsid w:val="006D3FA2"/>
    <w:rsid w:val="006D4DF3"/>
    <w:rsid w:val="006D53C3"/>
    <w:rsid w:val="006D5844"/>
    <w:rsid w:val="006D6DFB"/>
    <w:rsid w:val="006E2A5C"/>
    <w:rsid w:val="006E4588"/>
    <w:rsid w:val="006E5686"/>
    <w:rsid w:val="006E7DAB"/>
    <w:rsid w:val="006E7DBC"/>
    <w:rsid w:val="006F3B2C"/>
    <w:rsid w:val="006F4BB1"/>
    <w:rsid w:val="006F5B93"/>
    <w:rsid w:val="006F5E93"/>
    <w:rsid w:val="00702383"/>
    <w:rsid w:val="00703D56"/>
    <w:rsid w:val="0070744C"/>
    <w:rsid w:val="00707DF6"/>
    <w:rsid w:val="007134EA"/>
    <w:rsid w:val="007156B7"/>
    <w:rsid w:val="0071599D"/>
    <w:rsid w:val="007202A5"/>
    <w:rsid w:val="00721164"/>
    <w:rsid w:val="007230B6"/>
    <w:rsid w:val="007241A0"/>
    <w:rsid w:val="007261B5"/>
    <w:rsid w:val="00727290"/>
    <w:rsid w:val="0072752D"/>
    <w:rsid w:val="007304D8"/>
    <w:rsid w:val="007306B9"/>
    <w:rsid w:val="007318D7"/>
    <w:rsid w:val="0073202C"/>
    <w:rsid w:val="007327C1"/>
    <w:rsid w:val="00734F3C"/>
    <w:rsid w:val="00736BBA"/>
    <w:rsid w:val="007378DC"/>
    <w:rsid w:val="00737D26"/>
    <w:rsid w:val="00740292"/>
    <w:rsid w:val="00740BDC"/>
    <w:rsid w:val="007417CF"/>
    <w:rsid w:val="007431C5"/>
    <w:rsid w:val="00744125"/>
    <w:rsid w:val="007457D6"/>
    <w:rsid w:val="00750D05"/>
    <w:rsid w:val="00750EB0"/>
    <w:rsid w:val="00751A94"/>
    <w:rsid w:val="00751C9C"/>
    <w:rsid w:val="00753254"/>
    <w:rsid w:val="0075342B"/>
    <w:rsid w:val="00754328"/>
    <w:rsid w:val="00754B44"/>
    <w:rsid w:val="00755C55"/>
    <w:rsid w:val="007628CB"/>
    <w:rsid w:val="007633E7"/>
    <w:rsid w:val="00763B1F"/>
    <w:rsid w:val="007645F2"/>
    <w:rsid w:val="00765A3F"/>
    <w:rsid w:val="00770445"/>
    <w:rsid w:val="00773505"/>
    <w:rsid w:val="00774BC5"/>
    <w:rsid w:val="00780534"/>
    <w:rsid w:val="0078113F"/>
    <w:rsid w:val="0078387C"/>
    <w:rsid w:val="00790650"/>
    <w:rsid w:val="007914CE"/>
    <w:rsid w:val="00795B4E"/>
    <w:rsid w:val="007962E4"/>
    <w:rsid w:val="0079799F"/>
    <w:rsid w:val="007A0460"/>
    <w:rsid w:val="007A0E3B"/>
    <w:rsid w:val="007A23B5"/>
    <w:rsid w:val="007A68CA"/>
    <w:rsid w:val="007A7578"/>
    <w:rsid w:val="007A7C0F"/>
    <w:rsid w:val="007B05C3"/>
    <w:rsid w:val="007B1D25"/>
    <w:rsid w:val="007B674D"/>
    <w:rsid w:val="007B6C20"/>
    <w:rsid w:val="007C11FE"/>
    <w:rsid w:val="007C5600"/>
    <w:rsid w:val="007C6A3F"/>
    <w:rsid w:val="007D21D5"/>
    <w:rsid w:val="007D320B"/>
    <w:rsid w:val="007E077D"/>
    <w:rsid w:val="007E2F21"/>
    <w:rsid w:val="007F1E8A"/>
    <w:rsid w:val="007F1E9C"/>
    <w:rsid w:val="007F254D"/>
    <w:rsid w:val="007F2B6A"/>
    <w:rsid w:val="007F3EB4"/>
    <w:rsid w:val="007F4820"/>
    <w:rsid w:val="007F56EE"/>
    <w:rsid w:val="007F6BA9"/>
    <w:rsid w:val="007F6D5A"/>
    <w:rsid w:val="008002B8"/>
    <w:rsid w:val="00800737"/>
    <w:rsid w:val="0080095F"/>
    <w:rsid w:val="0080173C"/>
    <w:rsid w:val="00802DC4"/>
    <w:rsid w:val="008034CA"/>
    <w:rsid w:val="0080407C"/>
    <w:rsid w:val="00805346"/>
    <w:rsid w:val="00805791"/>
    <w:rsid w:val="00806CD5"/>
    <w:rsid w:val="008073E3"/>
    <w:rsid w:val="00807B4B"/>
    <w:rsid w:val="00811082"/>
    <w:rsid w:val="00813042"/>
    <w:rsid w:val="0081371A"/>
    <w:rsid w:val="00813D28"/>
    <w:rsid w:val="008154F1"/>
    <w:rsid w:val="00817765"/>
    <w:rsid w:val="00817C24"/>
    <w:rsid w:val="00821809"/>
    <w:rsid w:val="00821C93"/>
    <w:rsid w:val="008228A6"/>
    <w:rsid w:val="0082760E"/>
    <w:rsid w:val="00830CDD"/>
    <w:rsid w:val="00831BCD"/>
    <w:rsid w:val="008325A3"/>
    <w:rsid w:val="00833048"/>
    <w:rsid w:val="00835C1F"/>
    <w:rsid w:val="00835FA4"/>
    <w:rsid w:val="00837668"/>
    <w:rsid w:val="0083789E"/>
    <w:rsid w:val="00837C8C"/>
    <w:rsid w:val="0084127A"/>
    <w:rsid w:val="00843BE3"/>
    <w:rsid w:val="00844A1C"/>
    <w:rsid w:val="008454C1"/>
    <w:rsid w:val="00845950"/>
    <w:rsid w:val="008467BE"/>
    <w:rsid w:val="00850138"/>
    <w:rsid w:val="008520A7"/>
    <w:rsid w:val="0085235D"/>
    <w:rsid w:val="0085320B"/>
    <w:rsid w:val="008533D1"/>
    <w:rsid w:val="008538A1"/>
    <w:rsid w:val="00854059"/>
    <w:rsid w:val="008574C0"/>
    <w:rsid w:val="0086017D"/>
    <w:rsid w:val="008610F3"/>
    <w:rsid w:val="00861182"/>
    <w:rsid w:val="00863A33"/>
    <w:rsid w:val="00870C66"/>
    <w:rsid w:val="00873A49"/>
    <w:rsid w:val="008752E7"/>
    <w:rsid w:val="008772E4"/>
    <w:rsid w:val="00877D77"/>
    <w:rsid w:val="00880E9F"/>
    <w:rsid w:val="00882B75"/>
    <w:rsid w:val="00882D82"/>
    <w:rsid w:val="00883653"/>
    <w:rsid w:val="00883714"/>
    <w:rsid w:val="008849E6"/>
    <w:rsid w:val="00887FC9"/>
    <w:rsid w:val="00892D3E"/>
    <w:rsid w:val="00894A7A"/>
    <w:rsid w:val="00894F8A"/>
    <w:rsid w:val="008966E0"/>
    <w:rsid w:val="008969E2"/>
    <w:rsid w:val="008A3FEF"/>
    <w:rsid w:val="008A4A76"/>
    <w:rsid w:val="008A5928"/>
    <w:rsid w:val="008A69F4"/>
    <w:rsid w:val="008B073A"/>
    <w:rsid w:val="008B0C46"/>
    <w:rsid w:val="008B2896"/>
    <w:rsid w:val="008B3853"/>
    <w:rsid w:val="008B3E9F"/>
    <w:rsid w:val="008B4ABF"/>
    <w:rsid w:val="008B6710"/>
    <w:rsid w:val="008B7C0E"/>
    <w:rsid w:val="008C0E53"/>
    <w:rsid w:val="008C1FAE"/>
    <w:rsid w:val="008C3BA6"/>
    <w:rsid w:val="008C46FC"/>
    <w:rsid w:val="008C61A0"/>
    <w:rsid w:val="008C6297"/>
    <w:rsid w:val="008C7290"/>
    <w:rsid w:val="008C746A"/>
    <w:rsid w:val="008D1B37"/>
    <w:rsid w:val="008D2014"/>
    <w:rsid w:val="008D3374"/>
    <w:rsid w:val="008D35C2"/>
    <w:rsid w:val="008D3C4D"/>
    <w:rsid w:val="008D3F8E"/>
    <w:rsid w:val="008D52A4"/>
    <w:rsid w:val="008D6F87"/>
    <w:rsid w:val="008D7BF1"/>
    <w:rsid w:val="008E27E0"/>
    <w:rsid w:val="008E3CD0"/>
    <w:rsid w:val="008E40A2"/>
    <w:rsid w:val="008E40DE"/>
    <w:rsid w:val="008E49D5"/>
    <w:rsid w:val="008E5556"/>
    <w:rsid w:val="008E5A56"/>
    <w:rsid w:val="008E64AB"/>
    <w:rsid w:val="008E6781"/>
    <w:rsid w:val="008E74D4"/>
    <w:rsid w:val="008F0354"/>
    <w:rsid w:val="008F3B31"/>
    <w:rsid w:val="008F4E75"/>
    <w:rsid w:val="008F6F2C"/>
    <w:rsid w:val="009006C7"/>
    <w:rsid w:val="00900B38"/>
    <w:rsid w:val="00900F1A"/>
    <w:rsid w:val="009036BB"/>
    <w:rsid w:val="00903C63"/>
    <w:rsid w:val="00905DCC"/>
    <w:rsid w:val="00906678"/>
    <w:rsid w:val="00910809"/>
    <w:rsid w:val="00914407"/>
    <w:rsid w:val="00916FDD"/>
    <w:rsid w:val="00917300"/>
    <w:rsid w:val="00921DBB"/>
    <w:rsid w:val="00923593"/>
    <w:rsid w:val="009236DE"/>
    <w:rsid w:val="00924E08"/>
    <w:rsid w:val="00924F45"/>
    <w:rsid w:val="00926D62"/>
    <w:rsid w:val="009319E4"/>
    <w:rsid w:val="00931B13"/>
    <w:rsid w:val="009336CF"/>
    <w:rsid w:val="00937ECA"/>
    <w:rsid w:val="00941A04"/>
    <w:rsid w:val="00941A84"/>
    <w:rsid w:val="009431B3"/>
    <w:rsid w:val="00950367"/>
    <w:rsid w:val="00950A55"/>
    <w:rsid w:val="00953BFF"/>
    <w:rsid w:val="009544FE"/>
    <w:rsid w:val="009565F6"/>
    <w:rsid w:val="009613C6"/>
    <w:rsid w:val="00961BA7"/>
    <w:rsid w:val="00963471"/>
    <w:rsid w:val="00964EE7"/>
    <w:rsid w:val="009652B9"/>
    <w:rsid w:val="00965E79"/>
    <w:rsid w:val="00967B6D"/>
    <w:rsid w:val="0097126B"/>
    <w:rsid w:val="00972B2C"/>
    <w:rsid w:val="0097344A"/>
    <w:rsid w:val="009750E1"/>
    <w:rsid w:val="0097555D"/>
    <w:rsid w:val="00980287"/>
    <w:rsid w:val="00980757"/>
    <w:rsid w:val="009809C3"/>
    <w:rsid w:val="00982DE4"/>
    <w:rsid w:val="009844B6"/>
    <w:rsid w:val="009907AA"/>
    <w:rsid w:val="009914E4"/>
    <w:rsid w:val="0099234A"/>
    <w:rsid w:val="00993280"/>
    <w:rsid w:val="009940F5"/>
    <w:rsid w:val="00995067"/>
    <w:rsid w:val="00995C47"/>
    <w:rsid w:val="0099699B"/>
    <w:rsid w:val="00996AAA"/>
    <w:rsid w:val="009A026D"/>
    <w:rsid w:val="009A0513"/>
    <w:rsid w:val="009A204D"/>
    <w:rsid w:val="009A23E8"/>
    <w:rsid w:val="009A2F77"/>
    <w:rsid w:val="009A3923"/>
    <w:rsid w:val="009A4E8F"/>
    <w:rsid w:val="009A7544"/>
    <w:rsid w:val="009B00D7"/>
    <w:rsid w:val="009B0B5A"/>
    <w:rsid w:val="009B0FB2"/>
    <w:rsid w:val="009B2549"/>
    <w:rsid w:val="009B27F8"/>
    <w:rsid w:val="009B2950"/>
    <w:rsid w:val="009B4A23"/>
    <w:rsid w:val="009B4A83"/>
    <w:rsid w:val="009B52D4"/>
    <w:rsid w:val="009B73BF"/>
    <w:rsid w:val="009C01F0"/>
    <w:rsid w:val="009C1F0D"/>
    <w:rsid w:val="009C280B"/>
    <w:rsid w:val="009C2BC3"/>
    <w:rsid w:val="009C579B"/>
    <w:rsid w:val="009C5901"/>
    <w:rsid w:val="009C703E"/>
    <w:rsid w:val="009D0B61"/>
    <w:rsid w:val="009D2085"/>
    <w:rsid w:val="009D26A2"/>
    <w:rsid w:val="009D30B8"/>
    <w:rsid w:val="009D334A"/>
    <w:rsid w:val="009D46ED"/>
    <w:rsid w:val="009D7157"/>
    <w:rsid w:val="009E0FB4"/>
    <w:rsid w:val="009E27C2"/>
    <w:rsid w:val="009E2BB9"/>
    <w:rsid w:val="009E3217"/>
    <w:rsid w:val="009F00A7"/>
    <w:rsid w:val="009F0BDC"/>
    <w:rsid w:val="009F61CD"/>
    <w:rsid w:val="009F6A42"/>
    <w:rsid w:val="00A01CFB"/>
    <w:rsid w:val="00A03C20"/>
    <w:rsid w:val="00A057B2"/>
    <w:rsid w:val="00A05D29"/>
    <w:rsid w:val="00A07A95"/>
    <w:rsid w:val="00A10044"/>
    <w:rsid w:val="00A11555"/>
    <w:rsid w:val="00A117DC"/>
    <w:rsid w:val="00A11AC1"/>
    <w:rsid w:val="00A13549"/>
    <w:rsid w:val="00A145D3"/>
    <w:rsid w:val="00A14B37"/>
    <w:rsid w:val="00A14F47"/>
    <w:rsid w:val="00A158DC"/>
    <w:rsid w:val="00A16364"/>
    <w:rsid w:val="00A16E02"/>
    <w:rsid w:val="00A20B07"/>
    <w:rsid w:val="00A232F4"/>
    <w:rsid w:val="00A23985"/>
    <w:rsid w:val="00A24D4D"/>
    <w:rsid w:val="00A26624"/>
    <w:rsid w:val="00A32C68"/>
    <w:rsid w:val="00A356BF"/>
    <w:rsid w:val="00A360D2"/>
    <w:rsid w:val="00A372CC"/>
    <w:rsid w:val="00A401B5"/>
    <w:rsid w:val="00A41550"/>
    <w:rsid w:val="00A43AB6"/>
    <w:rsid w:val="00A44737"/>
    <w:rsid w:val="00A44AEF"/>
    <w:rsid w:val="00A45700"/>
    <w:rsid w:val="00A46313"/>
    <w:rsid w:val="00A468AD"/>
    <w:rsid w:val="00A5005B"/>
    <w:rsid w:val="00A5065F"/>
    <w:rsid w:val="00A51E3E"/>
    <w:rsid w:val="00A564F1"/>
    <w:rsid w:val="00A56709"/>
    <w:rsid w:val="00A56AA1"/>
    <w:rsid w:val="00A57648"/>
    <w:rsid w:val="00A57C96"/>
    <w:rsid w:val="00A602AB"/>
    <w:rsid w:val="00A61694"/>
    <w:rsid w:val="00A621B4"/>
    <w:rsid w:val="00A62CCF"/>
    <w:rsid w:val="00A646E9"/>
    <w:rsid w:val="00A65BC8"/>
    <w:rsid w:val="00A65FB1"/>
    <w:rsid w:val="00A676A4"/>
    <w:rsid w:val="00A67F16"/>
    <w:rsid w:val="00A70B8F"/>
    <w:rsid w:val="00A70DE8"/>
    <w:rsid w:val="00A721C4"/>
    <w:rsid w:val="00A741BD"/>
    <w:rsid w:val="00A76EFC"/>
    <w:rsid w:val="00A8294C"/>
    <w:rsid w:val="00A84115"/>
    <w:rsid w:val="00A84237"/>
    <w:rsid w:val="00A8786B"/>
    <w:rsid w:val="00A90B4F"/>
    <w:rsid w:val="00A90CAE"/>
    <w:rsid w:val="00A92EF6"/>
    <w:rsid w:val="00A9425B"/>
    <w:rsid w:val="00A95207"/>
    <w:rsid w:val="00A9578B"/>
    <w:rsid w:val="00A958EC"/>
    <w:rsid w:val="00A95DC4"/>
    <w:rsid w:val="00A96344"/>
    <w:rsid w:val="00A96CE7"/>
    <w:rsid w:val="00A97BB4"/>
    <w:rsid w:val="00AA1CD3"/>
    <w:rsid w:val="00AA2C20"/>
    <w:rsid w:val="00AA3B43"/>
    <w:rsid w:val="00AA4332"/>
    <w:rsid w:val="00AA4369"/>
    <w:rsid w:val="00AA460D"/>
    <w:rsid w:val="00AA57DC"/>
    <w:rsid w:val="00AA711E"/>
    <w:rsid w:val="00AA7989"/>
    <w:rsid w:val="00AB00FB"/>
    <w:rsid w:val="00AB0101"/>
    <w:rsid w:val="00AB2059"/>
    <w:rsid w:val="00AB3F31"/>
    <w:rsid w:val="00AB4812"/>
    <w:rsid w:val="00AB6624"/>
    <w:rsid w:val="00AC1264"/>
    <w:rsid w:val="00AC15FD"/>
    <w:rsid w:val="00AC1B05"/>
    <w:rsid w:val="00AC1EE3"/>
    <w:rsid w:val="00AC3A3F"/>
    <w:rsid w:val="00AC50D1"/>
    <w:rsid w:val="00AC5969"/>
    <w:rsid w:val="00AC661B"/>
    <w:rsid w:val="00AC6E22"/>
    <w:rsid w:val="00AC733C"/>
    <w:rsid w:val="00AC7473"/>
    <w:rsid w:val="00AC7838"/>
    <w:rsid w:val="00AD24A5"/>
    <w:rsid w:val="00AD2D23"/>
    <w:rsid w:val="00AD381A"/>
    <w:rsid w:val="00AD58E6"/>
    <w:rsid w:val="00AE0FF0"/>
    <w:rsid w:val="00AE251D"/>
    <w:rsid w:val="00AE2FCB"/>
    <w:rsid w:val="00AE4D94"/>
    <w:rsid w:val="00AE5D00"/>
    <w:rsid w:val="00AE6BCF"/>
    <w:rsid w:val="00AE700F"/>
    <w:rsid w:val="00AF0B43"/>
    <w:rsid w:val="00AF20C4"/>
    <w:rsid w:val="00AF31AB"/>
    <w:rsid w:val="00AF3C2C"/>
    <w:rsid w:val="00AF4080"/>
    <w:rsid w:val="00AF56F2"/>
    <w:rsid w:val="00AF7B25"/>
    <w:rsid w:val="00B002CC"/>
    <w:rsid w:val="00B01ACF"/>
    <w:rsid w:val="00B01E61"/>
    <w:rsid w:val="00B03387"/>
    <w:rsid w:val="00B065CE"/>
    <w:rsid w:val="00B07DC1"/>
    <w:rsid w:val="00B12150"/>
    <w:rsid w:val="00B12998"/>
    <w:rsid w:val="00B1349F"/>
    <w:rsid w:val="00B168B2"/>
    <w:rsid w:val="00B17C55"/>
    <w:rsid w:val="00B218E3"/>
    <w:rsid w:val="00B22D73"/>
    <w:rsid w:val="00B23A08"/>
    <w:rsid w:val="00B26B47"/>
    <w:rsid w:val="00B278EB"/>
    <w:rsid w:val="00B312E9"/>
    <w:rsid w:val="00B322EF"/>
    <w:rsid w:val="00B33D4C"/>
    <w:rsid w:val="00B36548"/>
    <w:rsid w:val="00B374ED"/>
    <w:rsid w:val="00B406A3"/>
    <w:rsid w:val="00B42A87"/>
    <w:rsid w:val="00B454A9"/>
    <w:rsid w:val="00B459CD"/>
    <w:rsid w:val="00B45D1D"/>
    <w:rsid w:val="00B5057C"/>
    <w:rsid w:val="00B519F6"/>
    <w:rsid w:val="00B51DB3"/>
    <w:rsid w:val="00B525B7"/>
    <w:rsid w:val="00B5270F"/>
    <w:rsid w:val="00B52E64"/>
    <w:rsid w:val="00B53905"/>
    <w:rsid w:val="00B53BCB"/>
    <w:rsid w:val="00B55DC5"/>
    <w:rsid w:val="00B5609E"/>
    <w:rsid w:val="00B56677"/>
    <w:rsid w:val="00B56723"/>
    <w:rsid w:val="00B5686E"/>
    <w:rsid w:val="00B56CBE"/>
    <w:rsid w:val="00B61E2B"/>
    <w:rsid w:val="00B62632"/>
    <w:rsid w:val="00B62921"/>
    <w:rsid w:val="00B6360F"/>
    <w:rsid w:val="00B636B4"/>
    <w:rsid w:val="00B6382A"/>
    <w:rsid w:val="00B63EEB"/>
    <w:rsid w:val="00B6565D"/>
    <w:rsid w:val="00B65CAA"/>
    <w:rsid w:val="00B66328"/>
    <w:rsid w:val="00B70822"/>
    <w:rsid w:val="00B72864"/>
    <w:rsid w:val="00B72F99"/>
    <w:rsid w:val="00B73058"/>
    <w:rsid w:val="00B74F3F"/>
    <w:rsid w:val="00B75F60"/>
    <w:rsid w:val="00B76AA6"/>
    <w:rsid w:val="00B76C2D"/>
    <w:rsid w:val="00B824FE"/>
    <w:rsid w:val="00B82EE3"/>
    <w:rsid w:val="00B8353D"/>
    <w:rsid w:val="00B84FD8"/>
    <w:rsid w:val="00B84FDA"/>
    <w:rsid w:val="00B860FF"/>
    <w:rsid w:val="00B92F57"/>
    <w:rsid w:val="00B9372E"/>
    <w:rsid w:val="00B95CE0"/>
    <w:rsid w:val="00B95F33"/>
    <w:rsid w:val="00B967A9"/>
    <w:rsid w:val="00BA0F4A"/>
    <w:rsid w:val="00BA14CA"/>
    <w:rsid w:val="00BA250C"/>
    <w:rsid w:val="00BA4FD1"/>
    <w:rsid w:val="00BA58D9"/>
    <w:rsid w:val="00BA68E7"/>
    <w:rsid w:val="00BA6B4C"/>
    <w:rsid w:val="00BA7211"/>
    <w:rsid w:val="00BB21B8"/>
    <w:rsid w:val="00BB2AA7"/>
    <w:rsid w:val="00BB3633"/>
    <w:rsid w:val="00BB3908"/>
    <w:rsid w:val="00BB4F6E"/>
    <w:rsid w:val="00BB5150"/>
    <w:rsid w:val="00BB6720"/>
    <w:rsid w:val="00BC0628"/>
    <w:rsid w:val="00BC1908"/>
    <w:rsid w:val="00BC21BF"/>
    <w:rsid w:val="00BC39C7"/>
    <w:rsid w:val="00BC66FE"/>
    <w:rsid w:val="00BC76F6"/>
    <w:rsid w:val="00BC784A"/>
    <w:rsid w:val="00BC7AFB"/>
    <w:rsid w:val="00BD1723"/>
    <w:rsid w:val="00BD1D68"/>
    <w:rsid w:val="00BD25E9"/>
    <w:rsid w:val="00BD30ED"/>
    <w:rsid w:val="00BD5189"/>
    <w:rsid w:val="00BD747A"/>
    <w:rsid w:val="00BD7C35"/>
    <w:rsid w:val="00BE267E"/>
    <w:rsid w:val="00BE41FA"/>
    <w:rsid w:val="00BE5449"/>
    <w:rsid w:val="00BE5A67"/>
    <w:rsid w:val="00BF046F"/>
    <w:rsid w:val="00BF08DD"/>
    <w:rsid w:val="00BF3B6A"/>
    <w:rsid w:val="00BF4820"/>
    <w:rsid w:val="00BF49C7"/>
    <w:rsid w:val="00C0318D"/>
    <w:rsid w:val="00C07C4E"/>
    <w:rsid w:val="00C12B99"/>
    <w:rsid w:val="00C133F8"/>
    <w:rsid w:val="00C146DF"/>
    <w:rsid w:val="00C15624"/>
    <w:rsid w:val="00C15BC0"/>
    <w:rsid w:val="00C20AA1"/>
    <w:rsid w:val="00C210CC"/>
    <w:rsid w:val="00C21D57"/>
    <w:rsid w:val="00C239F6"/>
    <w:rsid w:val="00C24C0A"/>
    <w:rsid w:val="00C25608"/>
    <w:rsid w:val="00C25E36"/>
    <w:rsid w:val="00C26F81"/>
    <w:rsid w:val="00C3027A"/>
    <w:rsid w:val="00C4019B"/>
    <w:rsid w:val="00C40B7E"/>
    <w:rsid w:val="00C43E84"/>
    <w:rsid w:val="00C45CD5"/>
    <w:rsid w:val="00C55197"/>
    <w:rsid w:val="00C567EB"/>
    <w:rsid w:val="00C60F72"/>
    <w:rsid w:val="00C6107E"/>
    <w:rsid w:val="00C61BD9"/>
    <w:rsid w:val="00C638B2"/>
    <w:rsid w:val="00C63E54"/>
    <w:rsid w:val="00C64047"/>
    <w:rsid w:val="00C64238"/>
    <w:rsid w:val="00C65119"/>
    <w:rsid w:val="00C653BC"/>
    <w:rsid w:val="00C6603D"/>
    <w:rsid w:val="00C66500"/>
    <w:rsid w:val="00C6701F"/>
    <w:rsid w:val="00C70B0B"/>
    <w:rsid w:val="00C7150D"/>
    <w:rsid w:val="00C7226E"/>
    <w:rsid w:val="00C72674"/>
    <w:rsid w:val="00C729F1"/>
    <w:rsid w:val="00C73CF9"/>
    <w:rsid w:val="00C74FEF"/>
    <w:rsid w:val="00C8124F"/>
    <w:rsid w:val="00C822B9"/>
    <w:rsid w:val="00C8234F"/>
    <w:rsid w:val="00C82870"/>
    <w:rsid w:val="00C85351"/>
    <w:rsid w:val="00C8584A"/>
    <w:rsid w:val="00C8624A"/>
    <w:rsid w:val="00C87756"/>
    <w:rsid w:val="00C94F25"/>
    <w:rsid w:val="00C95278"/>
    <w:rsid w:val="00C95B2F"/>
    <w:rsid w:val="00CA0175"/>
    <w:rsid w:val="00CA0E2F"/>
    <w:rsid w:val="00CA2BD7"/>
    <w:rsid w:val="00CA3738"/>
    <w:rsid w:val="00CA42F7"/>
    <w:rsid w:val="00CA5541"/>
    <w:rsid w:val="00CA6969"/>
    <w:rsid w:val="00CA71B7"/>
    <w:rsid w:val="00CB00F3"/>
    <w:rsid w:val="00CB12BA"/>
    <w:rsid w:val="00CB484E"/>
    <w:rsid w:val="00CB4B53"/>
    <w:rsid w:val="00CB7D21"/>
    <w:rsid w:val="00CB7DA1"/>
    <w:rsid w:val="00CC16B2"/>
    <w:rsid w:val="00CC31FE"/>
    <w:rsid w:val="00CC6596"/>
    <w:rsid w:val="00CD1B01"/>
    <w:rsid w:val="00CD1D5B"/>
    <w:rsid w:val="00CD1E6E"/>
    <w:rsid w:val="00CD341E"/>
    <w:rsid w:val="00CD4791"/>
    <w:rsid w:val="00CD50D4"/>
    <w:rsid w:val="00CD5187"/>
    <w:rsid w:val="00CD7815"/>
    <w:rsid w:val="00CE009B"/>
    <w:rsid w:val="00CE357E"/>
    <w:rsid w:val="00CE3E78"/>
    <w:rsid w:val="00CE40B1"/>
    <w:rsid w:val="00CE5B8A"/>
    <w:rsid w:val="00CE6775"/>
    <w:rsid w:val="00CE67D7"/>
    <w:rsid w:val="00CE68DB"/>
    <w:rsid w:val="00CE7256"/>
    <w:rsid w:val="00CE76FC"/>
    <w:rsid w:val="00CE77E0"/>
    <w:rsid w:val="00CE7F23"/>
    <w:rsid w:val="00CF1AFB"/>
    <w:rsid w:val="00CF1E2D"/>
    <w:rsid w:val="00CF22CE"/>
    <w:rsid w:val="00CF29E9"/>
    <w:rsid w:val="00CF44B9"/>
    <w:rsid w:val="00CF684B"/>
    <w:rsid w:val="00D13114"/>
    <w:rsid w:val="00D15DB8"/>
    <w:rsid w:val="00D16D1D"/>
    <w:rsid w:val="00D174E6"/>
    <w:rsid w:val="00D175DD"/>
    <w:rsid w:val="00D22F33"/>
    <w:rsid w:val="00D22F4F"/>
    <w:rsid w:val="00D2386A"/>
    <w:rsid w:val="00D23E78"/>
    <w:rsid w:val="00D240F2"/>
    <w:rsid w:val="00D24137"/>
    <w:rsid w:val="00D24BFE"/>
    <w:rsid w:val="00D268C0"/>
    <w:rsid w:val="00D27162"/>
    <w:rsid w:val="00D277DC"/>
    <w:rsid w:val="00D31DC3"/>
    <w:rsid w:val="00D329CF"/>
    <w:rsid w:val="00D33EE5"/>
    <w:rsid w:val="00D347B9"/>
    <w:rsid w:val="00D429EE"/>
    <w:rsid w:val="00D42E2E"/>
    <w:rsid w:val="00D43055"/>
    <w:rsid w:val="00D4571D"/>
    <w:rsid w:val="00D46C7B"/>
    <w:rsid w:val="00D47647"/>
    <w:rsid w:val="00D47D55"/>
    <w:rsid w:val="00D524FF"/>
    <w:rsid w:val="00D542D2"/>
    <w:rsid w:val="00D56B5F"/>
    <w:rsid w:val="00D57F4F"/>
    <w:rsid w:val="00D60A78"/>
    <w:rsid w:val="00D60DEB"/>
    <w:rsid w:val="00D617EF"/>
    <w:rsid w:val="00D62251"/>
    <w:rsid w:val="00D638A6"/>
    <w:rsid w:val="00D65589"/>
    <w:rsid w:val="00D672EC"/>
    <w:rsid w:val="00D67B03"/>
    <w:rsid w:val="00D67B5C"/>
    <w:rsid w:val="00D702A7"/>
    <w:rsid w:val="00D71F9C"/>
    <w:rsid w:val="00D74A80"/>
    <w:rsid w:val="00D75B86"/>
    <w:rsid w:val="00D77BE8"/>
    <w:rsid w:val="00D8003C"/>
    <w:rsid w:val="00D81A40"/>
    <w:rsid w:val="00D8213A"/>
    <w:rsid w:val="00D84292"/>
    <w:rsid w:val="00D85DB5"/>
    <w:rsid w:val="00D861F2"/>
    <w:rsid w:val="00D8641C"/>
    <w:rsid w:val="00D8664A"/>
    <w:rsid w:val="00D91533"/>
    <w:rsid w:val="00D91F0F"/>
    <w:rsid w:val="00D932DC"/>
    <w:rsid w:val="00D94FEE"/>
    <w:rsid w:val="00D9553B"/>
    <w:rsid w:val="00DA046D"/>
    <w:rsid w:val="00DA269E"/>
    <w:rsid w:val="00DA3946"/>
    <w:rsid w:val="00DA4798"/>
    <w:rsid w:val="00DA552F"/>
    <w:rsid w:val="00DA6A48"/>
    <w:rsid w:val="00DB0B42"/>
    <w:rsid w:val="00DB3CEB"/>
    <w:rsid w:val="00DB3E84"/>
    <w:rsid w:val="00DB4069"/>
    <w:rsid w:val="00DB4426"/>
    <w:rsid w:val="00DC0AF2"/>
    <w:rsid w:val="00DC2054"/>
    <w:rsid w:val="00DC2472"/>
    <w:rsid w:val="00DC33F5"/>
    <w:rsid w:val="00DC3648"/>
    <w:rsid w:val="00DC3E55"/>
    <w:rsid w:val="00DC4711"/>
    <w:rsid w:val="00DC5A80"/>
    <w:rsid w:val="00DC5B65"/>
    <w:rsid w:val="00DC5D80"/>
    <w:rsid w:val="00DC7DFF"/>
    <w:rsid w:val="00DC7F23"/>
    <w:rsid w:val="00DD0C12"/>
    <w:rsid w:val="00DD1E6F"/>
    <w:rsid w:val="00DD24DA"/>
    <w:rsid w:val="00DD3AEA"/>
    <w:rsid w:val="00DD6562"/>
    <w:rsid w:val="00DD6D3A"/>
    <w:rsid w:val="00DD71AE"/>
    <w:rsid w:val="00DE0F8A"/>
    <w:rsid w:val="00DE23E5"/>
    <w:rsid w:val="00DE495D"/>
    <w:rsid w:val="00DE4C4D"/>
    <w:rsid w:val="00DE4DCD"/>
    <w:rsid w:val="00DE524F"/>
    <w:rsid w:val="00DE6175"/>
    <w:rsid w:val="00DF081B"/>
    <w:rsid w:val="00DF3F29"/>
    <w:rsid w:val="00DF421A"/>
    <w:rsid w:val="00DF628E"/>
    <w:rsid w:val="00E0321A"/>
    <w:rsid w:val="00E04179"/>
    <w:rsid w:val="00E04A9E"/>
    <w:rsid w:val="00E07081"/>
    <w:rsid w:val="00E07E02"/>
    <w:rsid w:val="00E10293"/>
    <w:rsid w:val="00E104D5"/>
    <w:rsid w:val="00E10C23"/>
    <w:rsid w:val="00E12EBA"/>
    <w:rsid w:val="00E12F24"/>
    <w:rsid w:val="00E1439B"/>
    <w:rsid w:val="00E14F1B"/>
    <w:rsid w:val="00E164C5"/>
    <w:rsid w:val="00E17DDA"/>
    <w:rsid w:val="00E219E6"/>
    <w:rsid w:val="00E23A33"/>
    <w:rsid w:val="00E305C1"/>
    <w:rsid w:val="00E31AAA"/>
    <w:rsid w:val="00E326D4"/>
    <w:rsid w:val="00E32A54"/>
    <w:rsid w:val="00E32C8A"/>
    <w:rsid w:val="00E3399A"/>
    <w:rsid w:val="00E34B38"/>
    <w:rsid w:val="00E354DC"/>
    <w:rsid w:val="00E404E4"/>
    <w:rsid w:val="00E414BD"/>
    <w:rsid w:val="00E41791"/>
    <w:rsid w:val="00E4260B"/>
    <w:rsid w:val="00E46F22"/>
    <w:rsid w:val="00E5077C"/>
    <w:rsid w:val="00E5206D"/>
    <w:rsid w:val="00E52B76"/>
    <w:rsid w:val="00E52CF4"/>
    <w:rsid w:val="00E563C2"/>
    <w:rsid w:val="00E56618"/>
    <w:rsid w:val="00E57724"/>
    <w:rsid w:val="00E578CB"/>
    <w:rsid w:val="00E6026B"/>
    <w:rsid w:val="00E6061F"/>
    <w:rsid w:val="00E612DB"/>
    <w:rsid w:val="00E618C0"/>
    <w:rsid w:val="00E61F6D"/>
    <w:rsid w:val="00E6204A"/>
    <w:rsid w:val="00E62640"/>
    <w:rsid w:val="00E62852"/>
    <w:rsid w:val="00E62DFD"/>
    <w:rsid w:val="00E65152"/>
    <w:rsid w:val="00E65424"/>
    <w:rsid w:val="00E6584D"/>
    <w:rsid w:val="00E66A52"/>
    <w:rsid w:val="00E66E11"/>
    <w:rsid w:val="00E673B8"/>
    <w:rsid w:val="00E72086"/>
    <w:rsid w:val="00E72F51"/>
    <w:rsid w:val="00E75855"/>
    <w:rsid w:val="00E759C1"/>
    <w:rsid w:val="00E76131"/>
    <w:rsid w:val="00E76860"/>
    <w:rsid w:val="00E76ABB"/>
    <w:rsid w:val="00E80E71"/>
    <w:rsid w:val="00E818CE"/>
    <w:rsid w:val="00E871BE"/>
    <w:rsid w:val="00E87816"/>
    <w:rsid w:val="00E91AB2"/>
    <w:rsid w:val="00E9227E"/>
    <w:rsid w:val="00E92EA7"/>
    <w:rsid w:val="00E939FF"/>
    <w:rsid w:val="00EA04C4"/>
    <w:rsid w:val="00EA1623"/>
    <w:rsid w:val="00EA1A0D"/>
    <w:rsid w:val="00EA5633"/>
    <w:rsid w:val="00EA6CB9"/>
    <w:rsid w:val="00EB05BA"/>
    <w:rsid w:val="00EB3DB6"/>
    <w:rsid w:val="00EB501C"/>
    <w:rsid w:val="00EB5C9F"/>
    <w:rsid w:val="00EB6490"/>
    <w:rsid w:val="00EC0F11"/>
    <w:rsid w:val="00EC18AD"/>
    <w:rsid w:val="00EC4689"/>
    <w:rsid w:val="00EC53A5"/>
    <w:rsid w:val="00EC5DC1"/>
    <w:rsid w:val="00EC6DCA"/>
    <w:rsid w:val="00EC7D51"/>
    <w:rsid w:val="00ED078D"/>
    <w:rsid w:val="00ED0C71"/>
    <w:rsid w:val="00ED3677"/>
    <w:rsid w:val="00ED411F"/>
    <w:rsid w:val="00ED46A8"/>
    <w:rsid w:val="00ED5945"/>
    <w:rsid w:val="00ED6B25"/>
    <w:rsid w:val="00EE01AD"/>
    <w:rsid w:val="00EE31E5"/>
    <w:rsid w:val="00EE320D"/>
    <w:rsid w:val="00EE350A"/>
    <w:rsid w:val="00EE4492"/>
    <w:rsid w:val="00EE6BD5"/>
    <w:rsid w:val="00EF0192"/>
    <w:rsid w:val="00EF2CE0"/>
    <w:rsid w:val="00EF3C6F"/>
    <w:rsid w:val="00F001A6"/>
    <w:rsid w:val="00F01239"/>
    <w:rsid w:val="00F01266"/>
    <w:rsid w:val="00F01EE3"/>
    <w:rsid w:val="00F03275"/>
    <w:rsid w:val="00F034E4"/>
    <w:rsid w:val="00F03B70"/>
    <w:rsid w:val="00F04066"/>
    <w:rsid w:val="00F04115"/>
    <w:rsid w:val="00F0568E"/>
    <w:rsid w:val="00F05D57"/>
    <w:rsid w:val="00F05FDA"/>
    <w:rsid w:val="00F06EFC"/>
    <w:rsid w:val="00F11861"/>
    <w:rsid w:val="00F11BDE"/>
    <w:rsid w:val="00F131D7"/>
    <w:rsid w:val="00F144EA"/>
    <w:rsid w:val="00F1529E"/>
    <w:rsid w:val="00F15AF4"/>
    <w:rsid w:val="00F203D8"/>
    <w:rsid w:val="00F20AB2"/>
    <w:rsid w:val="00F21142"/>
    <w:rsid w:val="00F22605"/>
    <w:rsid w:val="00F22CD4"/>
    <w:rsid w:val="00F24754"/>
    <w:rsid w:val="00F261AC"/>
    <w:rsid w:val="00F31503"/>
    <w:rsid w:val="00F31846"/>
    <w:rsid w:val="00F31D8C"/>
    <w:rsid w:val="00F34BB1"/>
    <w:rsid w:val="00F363D1"/>
    <w:rsid w:val="00F3743A"/>
    <w:rsid w:val="00F377FA"/>
    <w:rsid w:val="00F37F8E"/>
    <w:rsid w:val="00F41112"/>
    <w:rsid w:val="00F44873"/>
    <w:rsid w:val="00F4574A"/>
    <w:rsid w:val="00F46F89"/>
    <w:rsid w:val="00F516DC"/>
    <w:rsid w:val="00F525AA"/>
    <w:rsid w:val="00F52B27"/>
    <w:rsid w:val="00F52ECF"/>
    <w:rsid w:val="00F540E9"/>
    <w:rsid w:val="00F5419E"/>
    <w:rsid w:val="00F5432A"/>
    <w:rsid w:val="00F57867"/>
    <w:rsid w:val="00F604AE"/>
    <w:rsid w:val="00F608DE"/>
    <w:rsid w:val="00F61491"/>
    <w:rsid w:val="00F620CD"/>
    <w:rsid w:val="00F62B12"/>
    <w:rsid w:val="00F637B3"/>
    <w:rsid w:val="00F6413F"/>
    <w:rsid w:val="00F6454F"/>
    <w:rsid w:val="00F662DE"/>
    <w:rsid w:val="00F6711C"/>
    <w:rsid w:val="00F679EC"/>
    <w:rsid w:val="00F67C2B"/>
    <w:rsid w:val="00F67C6A"/>
    <w:rsid w:val="00F67CB5"/>
    <w:rsid w:val="00F72C00"/>
    <w:rsid w:val="00F72DBD"/>
    <w:rsid w:val="00F7668F"/>
    <w:rsid w:val="00F80021"/>
    <w:rsid w:val="00F83630"/>
    <w:rsid w:val="00F853B3"/>
    <w:rsid w:val="00F859AE"/>
    <w:rsid w:val="00F877F1"/>
    <w:rsid w:val="00F93015"/>
    <w:rsid w:val="00F9384E"/>
    <w:rsid w:val="00F93B2F"/>
    <w:rsid w:val="00F965F2"/>
    <w:rsid w:val="00F96852"/>
    <w:rsid w:val="00FA0B1A"/>
    <w:rsid w:val="00FA1758"/>
    <w:rsid w:val="00FA17B6"/>
    <w:rsid w:val="00FA470B"/>
    <w:rsid w:val="00FA4869"/>
    <w:rsid w:val="00FA54BE"/>
    <w:rsid w:val="00FB0769"/>
    <w:rsid w:val="00FB3EE3"/>
    <w:rsid w:val="00FB4BB4"/>
    <w:rsid w:val="00FB4D9B"/>
    <w:rsid w:val="00FB6739"/>
    <w:rsid w:val="00FB73EC"/>
    <w:rsid w:val="00FB75C9"/>
    <w:rsid w:val="00FB79B8"/>
    <w:rsid w:val="00FC03BC"/>
    <w:rsid w:val="00FC0D2F"/>
    <w:rsid w:val="00FC15D2"/>
    <w:rsid w:val="00FC1CA4"/>
    <w:rsid w:val="00FC381D"/>
    <w:rsid w:val="00FC428C"/>
    <w:rsid w:val="00FC4653"/>
    <w:rsid w:val="00FC5F36"/>
    <w:rsid w:val="00FC6455"/>
    <w:rsid w:val="00FC672E"/>
    <w:rsid w:val="00FD10DD"/>
    <w:rsid w:val="00FD18F9"/>
    <w:rsid w:val="00FD1C92"/>
    <w:rsid w:val="00FD3646"/>
    <w:rsid w:val="00FD369C"/>
    <w:rsid w:val="00FD6576"/>
    <w:rsid w:val="00FD6903"/>
    <w:rsid w:val="00FD7BCF"/>
    <w:rsid w:val="00FD7C40"/>
    <w:rsid w:val="00FE0356"/>
    <w:rsid w:val="00FE0FDE"/>
    <w:rsid w:val="00FE1089"/>
    <w:rsid w:val="00FE260B"/>
    <w:rsid w:val="00FE2943"/>
    <w:rsid w:val="00FE3CDC"/>
    <w:rsid w:val="00FE4239"/>
    <w:rsid w:val="00FF0620"/>
    <w:rsid w:val="00FF18F3"/>
    <w:rsid w:val="00FF4352"/>
    <w:rsid w:val="00FF4396"/>
    <w:rsid w:val="00FF489F"/>
    <w:rsid w:val="00FF5403"/>
    <w:rsid w:val="00FF5ECF"/>
    <w:rsid w:val="00FF61EE"/>
    <w:rsid w:val="00FF7C8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v:textbox style="layout-flow:vertical;mso-layout-flow-alt:bottom-to-top;mso-fit-shape-to-text:t"/>
      <o:colormru v:ext="edit" colors="#36c,#039"/>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caption" w:qFormat="1"/>
    <w:lsdException w:name="table of figures" w:uiPriority="99"/>
    <w:lsdException w:name="footnote reference" w:uiPriority="99"/>
    <w:lsdException w:name="annotation reference" w:uiPriority="99"/>
    <w:lsdException w:name="Title" w:uiPriority="10" w:qFormat="1"/>
    <w:lsdException w:name="Subtitle" w:qFormat="1"/>
    <w:lsdException w:name="Body Text Indent 3" w:uiPriority="99"/>
    <w:lsdException w:name="Block Text"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No List" w:uiPriority="99"/>
    <w:lsdException w:name="Table 3D effects 2"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2550A"/>
    <w:pPr>
      <w:spacing w:before="120"/>
      <w:jc w:val="both"/>
    </w:pPr>
    <w:rPr>
      <w:rFonts w:ascii="Calibri" w:hAnsi="Calibri"/>
      <w:sz w:val="21"/>
      <w:szCs w:val="22"/>
      <w:lang w:val="fr-FR" w:eastAsia="fr-FR"/>
    </w:rPr>
  </w:style>
  <w:style w:type="paragraph" w:styleId="Heading1">
    <w:name w:val="heading 1"/>
    <w:basedOn w:val="Normal"/>
    <w:next w:val="Normal"/>
    <w:link w:val="Heading1Char"/>
    <w:qFormat/>
    <w:rsid w:val="00982DE4"/>
    <w:pPr>
      <w:keepNext/>
      <w:keepLines/>
      <w:tabs>
        <w:tab w:val="left" w:pos="851"/>
      </w:tabs>
      <w:spacing w:before="400"/>
      <w:ind w:left="851" w:hanging="851"/>
      <w:outlineLvl w:val="0"/>
    </w:pPr>
    <w:rPr>
      <w:rFonts w:eastAsia="Times New Roman" w:cs="Helvetica"/>
      <w:b/>
      <w:bCs/>
      <w:color w:val="005173"/>
      <w:sz w:val="28"/>
      <w:szCs w:val="28"/>
      <w:lang w:val="en-US"/>
    </w:rPr>
  </w:style>
  <w:style w:type="paragraph" w:styleId="Heading2">
    <w:name w:val="heading 2"/>
    <w:basedOn w:val="Normal"/>
    <w:next w:val="Normal"/>
    <w:link w:val="Heading2Char"/>
    <w:qFormat/>
    <w:rsid w:val="00115C81"/>
    <w:pPr>
      <w:keepNext/>
      <w:tabs>
        <w:tab w:val="left" w:pos="851"/>
      </w:tabs>
      <w:spacing w:before="400"/>
      <w:ind w:left="851" w:hanging="851"/>
      <w:outlineLvl w:val="1"/>
    </w:pPr>
    <w:rPr>
      <w:rFonts w:eastAsia="Times New Roman" w:cs="Helvetica"/>
      <w:b/>
      <w:bCs/>
      <w:color w:val="005173"/>
      <w:sz w:val="24"/>
      <w:szCs w:val="32"/>
      <w:lang w:val="en-US"/>
    </w:rPr>
  </w:style>
  <w:style w:type="paragraph" w:styleId="Heading3">
    <w:name w:val="heading 3"/>
    <w:basedOn w:val="Heading2"/>
    <w:next w:val="Normal"/>
    <w:link w:val="Heading3Char"/>
    <w:qFormat/>
    <w:rsid w:val="00F20AB2"/>
    <w:pPr>
      <w:spacing w:before="240"/>
      <w:outlineLvl w:val="2"/>
    </w:pPr>
    <w:rPr>
      <w:i/>
      <w:iCs/>
    </w:rPr>
  </w:style>
  <w:style w:type="paragraph" w:styleId="Heading4">
    <w:name w:val="heading 4"/>
    <w:basedOn w:val="Normal"/>
    <w:next w:val="Normal"/>
    <w:link w:val="Heading4Char"/>
    <w:qFormat/>
    <w:rsid w:val="00821C93"/>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qFormat/>
    <w:rsid w:val="00821C93"/>
    <w:pPr>
      <w:keepNext/>
      <w:keepLines/>
      <w:tabs>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qFormat/>
    <w:rsid w:val="00821C93"/>
    <w:pPr>
      <w:spacing w:before="240" w:after="60"/>
      <w:outlineLvl w:val="5"/>
    </w:pPr>
    <w:rPr>
      <w:b/>
      <w:bCs/>
      <w:color w:val="005173"/>
    </w:rPr>
  </w:style>
  <w:style w:type="paragraph" w:styleId="Heading7">
    <w:name w:val="heading 7"/>
    <w:basedOn w:val="Normal"/>
    <w:next w:val="Normal"/>
    <w:link w:val="Heading7Char"/>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821C93"/>
    <w:pPr>
      <w:pBdr>
        <w:bottom w:val="single" w:sz="12" w:space="1" w:color="005173"/>
      </w:pBdr>
      <w:jc w:val="center"/>
    </w:pPr>
    <w:rPr>
      <w:rFonts w:eastAsia="Times New Roman" w:cs="Calibri"/>
      <w:i/>
      <w:iCs/>
      <w:szCs w:val="21"/>
      <w:lang w:val="en-US"/>
    </w:rPr>
  </w:style>
  <w:style w:type="character" w:customStyle="1" w:styleId="HeaderChar">
    <w:name w:val="Header Char"/>
    <w:link w:val="Header"/>
    <w:uiPriority w:val="99"/>
    <w:rsid w:val="00821C93"/>
    <w:rPr>
      <w:rFonts w:ascii="Calibri" w:eastAsia="Times New Roman" w:hAnsi="Calibri" w:cs="Calibri"/>
      <w:i/>
      <w:iCs/>
      <w:sz w:val="21"/>
      <w:szCs w:val="21"/>
      <w:lang w:eastAsia="fr-FR"/>
    </w:rPr>
  </w:style>
  <w:style w:type="character" w:styleId="Hyperlink">
    <w:name w:val="Hyperlink"/>
    <w:aliases w:val="CEO_Hyperlink"/>
    <w:rsid w:val="00FF7C81"/>
    <w:rPr>
      <w:color w:val="0000FF"/>
      <w:u w:val="single"/>
    </w:rPr>
  </w:style>
  <w:style w:type="paragraph" w:styleId="TOC2">
    <w:name w:val="toc 2"/>
    <w:basedOn w:val="Normal"/>
    <w:next w:val="Normal"/>
    <w:autoRedefine/>
    <w:uiPriority w:val="39"/>
    <w:qFormat/>
    <w:rsid w:val="00441D1F"/>
    <w:pPr>
      <w:tabs>
        <w:tab w:val="left" w:pos="567"/>
        <w:tab w:val="left" w:pos="1134"/>
        <w:tab w:val="right" w:leader="dot" w:pos="8505"/>
        <w:tab w:val="right" w:pos="9071"/>
      </w:tabs>
      <w:spacing w:before="240"/>
      <w:ind w:left="567"/>
      <w:jc w:val="left"/>
    </w:pPr>
    <w:rPr>
      <w:rFonts w:cs="Helvetica"/>
      <w:bCs/>
      <w:noProof/>
      <w:szCs w:val="24"/>
      <w:u w:color="3366CC"/>
    </w:rPr>
  </w:style>
  <w:style w:type="paragraph" w:styleId="TOC1">
    <w:name w:val="toc 1"/>
    <w:basedOn w:val="Normal"/>
    <w:next w:val="Normal"/>
    <w:uiPriority w:val="39"/>
    <w:qFormat/>
    <w:rsid w:val="0017278E"/>
    <w:pPr>
      <w:keepNext/>
      <w:keepLines/>
      <w:tabs>
        <w:tab w:val="left" w:pos="567"/>
        <w:tab w:val="right" w:leader="dot" w:pos="8505"/>
        <w:tab w:val="right" w:pos="9071"/>
      </w:tabs>
      <w:spacing w:before="200"/>
      <w:jc w:val="left"/>
    </w:pPr>
    <w:rPr>
      <w:rFonts w:cs="Helvetica"/>
      <w:b/>
      <w:bCs/>
      <w:noProof/>
      <w:szCs w:val="28"/>
      <w:lang w:val="en-US"/>
    </w:rPr>
  </w:style>
  <w:style w:type="paragraph" w:customStyle="1" w:styleId="Enumlevel2">
    <w:name w:val="Enum level 2"/>
    <w:basedOn w:val="Enumlevel1"/>
    <w:link w:val="Enumlevel2Char"/>
    <w:qFormat/>
    <w:rsid w:val="00CE7F23"/>
    <w:pPr>
      <w:ind w:left="1134"/>
    </w:pPr>
    <w:rPr>
      <w:lang w:val="en-AU"/>
    </w:rPr>
  </w:style>
  <w:style w:type="paragraph" w:customStyle="1" w:styleId="Figuretitle">
    <w:name w:val="Figure title"/>
    <w:basedOn w:val="Normal"/>
    <w:link w:val="FiguretitleChar"/>
    <w:qFormat/>
    <w:rsid w:val="003B018F"/>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rFonts w:cs="Arial"/>
      <w:b/>
      <w:color w:val="000000"/>
      <w:lang w:val="en-US"/>
    </w:rPr>
  </w:style>
  <w:style w:type="paragraph" w:customStyle="1" w:styleId="PartTitle">
    <w:name w:val="Part Title"/>
    <w:basedOn w:val="Heading2"/>
    <w:next w:val="Normal"/>
    <w:link w:val="PartTitleChar"/>
    <w:rsid w:val="0010485E"/>
    <w:pPr>
      <w:tabs>
        <w:tab w:val="left" w:pos="1134"/>
      </w:tabs>
    </w:pPr>
    <w:rPr>
      <w:i/>
      <w:sz w:val="44"/>
      <w:szCs w:val="36"/>
      <w:u w:color="E36C0A"/>
      <w:lang w:val="en-AU"/>
    </w:rPr>
  </w:style>
  <w:style w:type="character" w:customStyle="1" w:styleId="Enumlevel2Char">
    <w:name w:val="Enum level 2 Char"/>
    <w:link w:val="Enumlevel2"/>
    <w:rsid w:val="00CE7F23"/>
    <w:rPr>
      <w:rFonts w:ascii="Calibri" w:eastAsia="SimSun" w:hAnsi="Calibri" w:cs="Calibri"/>
      <w:sz w:val="21"/>
      <w:szCs w:val="21"/>
      <w:lang w:val="en-AU" w:eastAsia="en-GB"/>
    </w:rPr>
  </w:style>
  <w:style w:type="paragraph" w:customStyle="1" w:styleId="Figure">
    <w:name w:val="Figure"/>
    <w:basedOn w:val="Figuretitle"/>
    <w:link w:val="FigureChar"/>
    <w:qFormat/>
    <w:rsid w:val="00821C93"/>
    <w:pPr>
      <w:spacing w:before="240" w:after="120"/>
      <w:jc w:val="center"/>
    </w:pPr>
    <w:rPr>
      <w:b w:val="0"/>
      <w:bCs/>
    </w:rPr>
  </w:style>
  <w:style w:type="character" w:customStyle="1" w:styleId="FiguretitleChar">
    <w:name w:val="Figure title Char"/>
    <w:link w:val="Figuretitle"/>
    <w:rsid w:val="003B018F"/>
    <w:rPr>
      <w:rFonts w:ascii="Calibri" w:hAnsi="Calibri" w:cs="Arial"/>
      <w:b/>
      <w:color w:val="000000"/>
      <w:sz w:val="21"/>
      <w:szCs w:val="22"/>
      <w:shd w:val="clear" w:color="auto" w:fill="E8F8FD"/>
      <w:lang w:eastAsia="fr-FR"/>
    </w:rPr>
  </w:style>
  <w:style w:type="paragraph" w:customStyle="1" w:styleId="figuresource">
    <w:name w:val="figure source"/>
    <w:basedOn w:val="Figuretitle"/>
    <w:link w:val="figuresourceChar"/>
    <w:qFormat/>
    <w:rsid w:val="00F44873"/>
    <w:pPr>
      <w:jc w:val="left"/>
    </w:pPr>
    <w:rPr>
      <w:b w:val="0"/>
      <w:bCs/>
      <w:i/>
      <w:iCs/>
      <w:sz w:val="19"/>
      <w:szCs w:val="19"/>
    </w:rPr>
  </w:style>
  <w:style w:type="character" w:customStyle="1" w:styleId="FigureChar">
    <w:name w:val="Figure Char"/>
    <w:link w:val="Figure"/>
    <w:rsid w:val="00821C93"/>
    <w:rPr>
      <w:rFonts w:ascii="Calibri" w:hAnsi="Calibri" w:cs="Arial"/>
      <w:bCs/>
      <w:color w:val="000000"/>
      <w:sz w:val="21"/>
      <w:szCs w:val="22"/>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F44873"/>
    <w:rPr>
      <w:rFonts w:ascii="Calibri" w:eastAsia="SimSun" w:hAnsi="Calibri" w:cs="Arial"/>
      <w:b w:val="0"/>
      <w:bCs/>
      <w:i/>
      <w:iCs/>
      <w:color w:val="000000"/>
      <w:sz w:val="19"/>
      <w:szCs w:val="19"/>
      <w:shd w:val="clear" w:color="auto" w:fill="E8F8FD"/>
      <w:lang w:val="en-AU" w:eastAsia="fr-FR"/>
    </w:rPr>
  </w:style>
  <w:style w:type="paragraph" w:styleId="TOC3">
    <w:name w:val="toc 3"/>
    <w:basedOn w:val="Normal"/>
    <w:next w:val="Normal"/>
    <w:autoRedefine/>
    <w:uiPriority w:val="39"/>
    <w:qFormat/>
    <w:rsid w:val="0017278E"/>
    <w:pPr>
      <w:tabs>
        <w:tab w:val="right" w:pos="1701"/>
        <w:tab w:val="right" w:pos="1985"/>
        <w:tab w:val="right" w:leader="dot" w:pos="8505"/>
        <w:tab w:val="right" w:pos="9071"/>
      </w:tabs>
      <w:spacing w:before="40"/>
      <w:ind w:left="1701" w:hanging="567"/>
    </w:pPr>
    <w:rPr>
      <w:rFonts w:cs="Arial"/>
      <w:noProof/>
      <w:color w:val="000000"/>
      <w:szCs w:val="24"/>
      <w:lang w:val="en-US"/>
    </w:rPr>
  </w:style>
  <w:style w:type="paragraph" w:styleId="Footer">
    <w:name w:val="footer"/>
    <w:basedOn w:val="Normal"/>
    <w:link w:val="FooterChar"/>
    <w:rsid w:val="00821C93"/>
    <w:pPr>
      <w:pBdr>
        <w:top w:val="single" w:sz="4" w:space="1" w:color="005173"/>
      </w:pBdr>
      <w:tabs>
        <w:tab w:val="right" w:pos="9071"/>
      </w:tabs>
      <w:ind w:left="6804"/>
      <w:jc w:val="right"/>
    </w:pPr>
  </w:style>
  <w:style w:type="character" w:customStyle="1" w:styleId="FooterChar">
    <w:name w:val="Footer Char"/>
    <w:link w:val="Footer"/>
    <w:rsid w:val="00821C93"/>
    <w:rPr>
      <w:rFonts w:ascii="Calibri" w:hAnsi="Calibri"/>
      <w:sz w:val="21"/>
      <w:szCs w:val="22"/>
      <w:lang w:val="fr-FR"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rsid w:val="00115C81"/>
    <w:rPr>
      <w:rFonts w:ascii="Calibri" w:eastAsia="Times New Roman" w:hAnsi="Calibri" w:cs="Helvetica"/>
      <w:b/>
      <w:bCs/>
      <w:color w:val="005173"/>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basedOn w:val="Normal"/>
    <w:link w:val="FootnoteTextChar"/>
    <w:uiPriority w:val="99"/>
    <w:rsid w:val="007202A5"/>
    <w:pPr>
      <w:tabs>
        <w:tab w:val="left" w:pos="284"/>
      </w:tabs>
    </w:pPr>
    <w:rPr>
      <w:sz w:val="18"/>
      <w:szCs w:val="18"/>
      <w:lang w:val="en-US"/>
    </w:rPr>
  </w:style>
  <w:style w:type="character" w:customStyle="1" w:styleId="FootnoteTextChar">
    <w:name w:val="Footnote Text Char"/>
    <w:link w:val="FootnoteText"/>
    <w:uiPriority w:val="99"/>
    <w:rsid w:val="007202A5"/>
    <w:rPr>
      <w:rFonts w:ascii="Calibri" w:hAnsi="Calibri"/>
      <w:sz w:val="18"/>
      <w:szCs w:val="18"/>
      <w:lang w:eastAsia="fr-FR"/>
    </w:rPr>
  </w:style>
  <w:style w:type="character" w:styleId="FootnoteReference">
    <w:name w:val="footnote reference"/>
    <w:uiPriority w:val="99"/>
    <w:rsid w:val="004866ED"/>
    <w:rPr>
      <w:rFonts w:ascii="Calibri" w:hAnsi="Calibri"/>
      <w:sz w:val="21"/>
      <w:vertAlign w:val="superscript"/>
      <w:lang w:val="fr-CH"/>
    </w:rPr>
  </w:style>
  <w:style w:type="table" w:styleId="TableGrid">
    <w:name w:val="Table Grid"/>
    <w:basedOn w:val="TableNormal"/>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621F9"/>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821C93"/>
    <w:pPr>
      <w:keepNext/>
      <w:keepLines/>
      <w:tabs>
        <w:tab w:val="left" w:pos="851"/>
      </w:tabs>
      <w:spacing w:before="0"/>
      <w:jc w:val="center"/>
      <w:outlineLvl w:val="0"/>
    </w:pPr>
    <w:rPr>
      <w:rFonts w:cs="Helvetica"/>
      <w:b/>
      <w:bCs/>
      <w:color w:val="005173"/>
      <w:sz w:val="40"/>
      <w:szCs w:val="28"/>
      <w:lang w:val="en-US"/>
    </w:rPr>
  </w:style>
  <w:style w:type="paragraph" w:customStyle="1" w:styleId="Toc0">
    <w:name w:val="Toc 0"/>
    <w:basedOn w:val="Normal"/>
    <w:link w:val="Toc0Char"/>
    <w:qFormat/>
    <w:rsid w:val="00821C93"/>
    <w:pPr>
      <w:tabs>
        <w:tab w:val="right" w:pos="9071"/>
      </w:tabs>
      <w:spacing w:before="200"/>
      <w:jc w:val="right"/>
    </w:pPr>
    <w:rPr>
      <w:rFonts w:cs="Helvetica"/>
      <w:bCs/>
      <w:i/>
      <w:iCs/>
      <w:noProof/>
      <w:color w:val="005173"/>
      <w:szCs w:val="28"/>
      <w:lang w:val="en-US"/>
    </w:rPr>
  </w:style>
  <w:style w:type="character" w:customStyle="1" w:styleId="Heading1Char">
    <w:name w:val="Heading 1 Char"/>
    <w:link w:val="Heading1"/>
    <w:rsid w:val="00982DE4"/>
    <w:rPr>
      <w:rFonts w:ascii="Calibri" w:eastAsia="Times New Roman" w:hAnsi="Calibri" w:cs="Helvetica"/>
      <w:b/>
      <w:bCs/>
      <w:color w:val="005173"/>
      <w:sz w:val="28"/>
      <w:szCs w:val="28"/>
      <w:lang w:eastAsia="fr-FR"/>
    </w:rPr>
  </w:style>
  <w:style w:type="character" w:customStyle="1" w:styleId="ChapttitleChar">
    <w:name w:val="Chapt title Char"/>
    <w:link w:val="Chapttitle"/>
    <w:rsid w:val="00821C93"/>
    <w:rPr>
      <w:rFonts w:ascii="Calibri" w:hAnsi="Calibri" w:cs="Helvetica"/>
      <w:b/>
      <w:bCs/>
      <w:color w:val="005173"/>
      <w:sz w:val="40"/>
      <w:szCs w:val="28"/>
      <w:lang w:eastAsia="fr-FR"/>
    </w:rPr>
  </w:style>
  <w:style w:type="character" w:customStyle="1" w:styleId="Toc0Char">
    <w:name w:val="Toc 0 Char"/>
    <w:link w:val="Toc0"/>
    <w:rsid w:val="00821C93"/>
    <w:rPr>
      <w:rFonts w:ascii="Calibri" w:hAnsi="Calibri" w:cs="Helvetica"/>
      <w:bCs/>
      <w:i/>
      <w:iCs/>
      <w:noProof/>
      <w:color w:val="005173"/>
      <w:sz w:val="21"/>
      <w:szCs w:val="28"/>
      <w:lang w:eastAsia="fr-FR"/>
    </w:rPr>
  </w:style>
  <w:style w:type="paragraph" w:customStyle="1" w:styleId="HeadingB">
    <w:name w:val="Heading B"/>
    <w:basedOn w:val="Normal"/>
    <w:link w:val="HeadingBChar"/>
    <w:qFormat/>
    <w:rsid w:val="0024564C"/>
    <w:pPr>
      <w:spacing w:before="240"/>
    </w:pPr>
    <w:rPr>
      <w:b/>
      <w:bCs/>
      <w:lang w:val="en-AU"/>
    </w:rPr>
  </w:style>
  <w:style w:type="paragraph" w:customStyle="1" w:styleId="Enumlevel1">
    <w:name w:val="Enum level 1"/>
    <w:basedOn w:val="Normal"/>
    <w:link w:val="Enumlevel1Char"/>
    <w:qFormat/>
    <w:rsid w:val="00ED3677"/>
    <w:pPr>
      <w:ind w:left="567" w:hanging="567"/>
    </w:pPr>
    <w:rPr>
      <w:rFonts w:cs="Calibri"/>
      <w:szCs w:val="21"/>
      <w:lang w:val="en-GB" w:eastAsia="en-GB"/>
    </w:rPr>
  </w:style>
  <w:style w:type="character" w:customStyle="1" w:styleId="HeadingBChar">
    <w:name w:val="Heading B Char"/>
    <w:link w:val="HeadingB"/>
    <w:rsid w:val="0024564C"/>
    <w:rPr>
      <w:rFonts w:ascii="Calibri" w:hAnsi="Calibri"/>
      <w:b/>
      <w:bCs/>
      <w:sz w:val="21"/>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lang w:val="en-US"/>
    </w:rPr>
  </w:style>
  <w:style w:type="character" w:customStyle="1" w:styleId="Enumlevel1Char">
    <w:name w:val="Enum level 1 Char"/>
    <w:link w:val="Enumlevel1"/>
    <w:rsid w:val="00ED3677"/>
    <w:rPr>
      <w:rFonts w:ascii="Calibri" w:eastAsia="SimSun" w:hAnsi="Calibri" w:cs="Calibri"/>
      <w:sz w:val="21"/>
      <w:szCs w:val="21"/>
      <w:lang w:val="en-GB" w:eastAsia="en-GB"/>
    </w:rPr>
  </w:style>
  <w:style w:type="paragraph" w:customStyle="1" w:styleId="Tablesource">
    <w:name w:val="Table source"/>
    <w:basedOn w:val="Tabletext"/>
    <w:link w:val="TablesourceChar"/>
    <w:qFormat/>
    <w:rsid w:val="00A96344"/>
    <w:rPr>
      <w:i/>
      <w:iCs/>
      <w:lang w:val="en-US"/>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character" w:customStyle="1" w:styleId="Heading3Char">
    <w:name w:val="Heading 3 Char"/>
    <w:link w:val="Heading3"/>
    <w:locked/>
    <w:rsid w:val="00BB5150"/>
    <w:rPr>
      <w:rFonts w:ascii="Calibri" w:eastAsia="Times New Roman" w:hAnsi="Calibri" w:cs="Helvetica"/>
      <w:b/>
      <w:bCs/>
      <w:i/>
      <w:iCs/>
      <w:color w:val="943634"/>
      <w:sz w:val="24"/>
      <w:szCs w:val="32"/>
      <w:lang w:eastAsia="fr-FR"/>
    </w:rPr>
  </w:style>
  <w:style w:type="character" w:customStyle="1" w:styleId="Heading4Char">
    <w:name w:val="Heading 4 Char"/>
    <w:link w:val="Heading4"/>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locked/>
    <w:rsid w:val="00821C93"/>
    <w:rPr>
      <w:rFonts w:ascii="Calibri" w:hAnsi="Calibri"/>
      <w:b/>
      <w:bCs/>
      <w:color w:val="005173"/>
      <w:sz w:val="21"/>
      <w:szCs w:val="22"/>
      <w:lang w:val="fr-FR" w:eastAsia="fr-FR"/>
    </w:rPr>
  </w:style>
  <w:style w:type="character" w:customStyle="1" w:styleId="Heading7Char">
    <w:name w:val="Heading 7 Char"/>
    <w:link w:val="Heading7"/>
    <w:locked/>
    <w:rsid w:val="00271D36"/>
    <w:rPr>
      <w:rFonts w:ascii="Calibri" w:hAnsi="Calibri"/>
      <w:sz w:val="24"/>
      <w:szCs w:val="24"/>
      <w:lang w:val="fr-FR" w:eastAsia="fr-FR"/>
    </w:rPr>
  </w:style>
  <w:style w:type="character" w:customStyle="1" w:styleId="Heading8Char">
    <w:name w:val="Heading 8 Char"/>
    <w:link w:val="Heading8"/>
    <w:locked/>
    <w:rsid w:val="00271D36"/>
    <w:rPr>
      <w:rFonts w:ascii="Calibri" w:hAnsi="Calibri"/>
      <w:i/>
      <w:iCs/>
      <w:sz w:val="24"/>
      <w:szCs w:val="24"/>
      <w:lang w:val="fr-FR" w:eastAsia="fr-FR"/>
    </w:rPr>
  </w:style>
  <w:style w:type="character" w:customStyle="1" w:styleId="Heading9Char">
    <w:name w:val="Heading 9 Char"/>
    <w:link w:val="Heading9"/>
    <w:locked/>
    <w:rsid w:val="00271D36"/>
    <w:rPr>
      <w:rFonts w:ascii="Arial" w:hAnsi="Arial" w:cs="Arial"/>
      <w:sz w:val="21"/>
      <w:szCs w:val="22"/>
      <w:lang w:val="fr-FR" w:eastAsia="fr-FR"/>
    </w:rPr>
  </w:style>
  <w:style w:type="paragraph" w:styleId="Revision">
    <w:name w:val="Revision"/>
    <w:hidden/>
    <w:uiPriority w:val="99"/>
    <w:semiHidden/>
    <w:rsid w:val="00271D36"/>
    <w:rPr>
      <w:sz w:val="24"/>
      <w:szCs w:val="24"/>
      <w:lang w:val="en-GB" w:eastAsia="en-GB"/>
    </w:rPr>
  </w:style>
  <w:style w:type="paragraph" w:customStyle="1" w:styleId="Tablehead">
    <w:name w:val="Table head"/>
    <w:basedOn w:val="Normal"/>
    <w:link w:val="TableheadChar"/>
    <w:qFormat/>
    <w:rsid w:val="00E6584D"/>
    <w:pPr>
      <w:autoSpaceDE w:val="0"/>
      <w:autoSpaceDN w:val="0"/>
      <w:adjustRightInd w:val="0"/>
      <w:spacing w:before="80" w:after="80"/>
      <w:jc w:val="center"/>
    </w:pPr>
    <w:rPr>
      <w:rFonts w:cs="Arial Bold"/>
      <w:b/>
      <w:bCs/>
      <w:color w:val="FFFFFF"/>
      <w:sz w:val="19"/>
      <w:lang w:val="en-US"/>
    </w:rPr>
  </w:style>
  <w:style w:type="character" w:customStyle="1" w:styleId="TableheadChar">
    <w:name w:val="Table head Char"/>
    <w:link w:val="Tablehead"/>
    <w:rsid w:val="00E6584D"/>
    <w:rPr>
      <w:rFonts w:ascii="Calibri" w:hAnsi="Calibri" w:cs="Arial Bold"/>
      <w:b/>
      <w:bCs/>
      <w:color w:val="FFFFFF"/>
      <w:sz w:val="19"/>
      <w:szCs w:val="22"/>
      <w:lang w:eastAsia="fr-FR"/>
    </w:rPr>
  </w:style>
  <w:style w:type="paragraph" w:customStyle="1" w:styleId="Tabletext">
    <w:name w:val="Table text"/>
    <w:basedOn w:val="Normal"/>
    <w:link w:val="TabletextChar"/>
    <w:qFormat/>
    <w:rsid w:val="00E6584D"/>
    <w:pPr>
      <w:spacing w:before="40" w:after="40"/>
      <w:jc w:val="left"/>
    </w:pPr>
    <w:rPr>
      <w:rFonts w:cs="Calibri"/>
      <w:sz w:val="19"/>
      <w:szCs w:val="19"/>
    </w:rPr>
  </w:style>
  <w:style w:type="character" w:customStyle="1" w:styleId="TabletextChar">
    <w:name w:val="Table text Char"/>
    <w:link w:val="Tabletext"/>
    <w:rsid w:val="00E6584D"/>
    <w:rPr>
      <w:rFonts w:ascii="Calibri" w:hAnsi="Calibri" w:cs="Calibri"/>
      <w:sz w:val="19"/>
      <w:szCs w:val="19"/>
      <w:lang w:val="fr-FR" w:eastAsia="fr-FR"/>
    </w:rPr>
  </w:style>
  <w:style w:type="paragraph" w:customStyle="1" w:styleId="Tabletitle">
    <w:name w:val="Table title"/>
    <w:basedOn w:val="Normal"/>
    <w:link w:val="TabletitleChar"/>
    <w:uiPriority w:val="99"/>
    <w:qFormat/>
    <w:rsid w:val="00A96344"/>
    <w:pPr>
      <w:shd w:val="clear" w:color="auto" w:fill="FFFFFF"/>
      <w:autoSpaceDE w:val="0"/>
      <w:autoSpaceDN w:val="0"/>
      <w:adjustRightInd w:val="0"/>
      <w:spacing w:before="240" w:after="120"/>
      <w:jc w:val="center"/>
    </w:pPr>
    <w:rPr>
      <w:rFonts w:cs="Arial"/>
      <w:b/>
      <w:bCs/>
      <w:color w:val="005173"/>
      <w:szCs w:val="24"/>
      <w:lang w:val="en-US"/>
    </w:rPr>
  </w:style>
  <w:style w:type="character" w:customStyle="1" w:styleId="TabletitleChar">
    <w:name w:val="Table title Char"/>
    <w:link w:val="Tabletitle"/>
    <w:uiPriority w:val="99"/>
    <w:rsid w:val="00A96344"/>
    <w:rPr>
      <w:rFonts w:ascii="Calibri" w:hAnsi="Calibri" w:cs="Arial"/>
      <w:b/>
      <w:bCs/>
      <w:color w:val="005173"/>
      <w:sz w:val="21"/>
      <w:szCs w:val="24"/>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B9372E"/>
    <w:pPr>
      <w:ind w:left="1701" w:hanging="567"/>
    </w:pPr>
    <w:rPr>
      <w:iCs/>
    </w:rPr>
  </w:style>
  <w:style w:type="character" w:customStyle="1" w:styleId="Enumlevel3Char">
    <w:name w:val="Enum level 3 Char"/>
    <w:link w:val="Enumlevel3"/>
    <w:rsid w:val="00B9372E"/>
    <w:rPr>
      <w:rFonts w:ascii="Calibri" w:hAnsi="Calibri"/>
      <w:iCs/>
      <w:sz w:val="21"/>
      <w:szCs w:val="22"/>
      <w:lang w:val="fr-FR"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
    <w:name w:val="Medium Shading 1 - Accent 11"/>
    <w:basedOn w:val="TableNormal"/>
    <w:uiPriority w:val="63"/>
    <w:rsid w:val="0026112D"/>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Pr/>
      <w:tcPr>
        <w:shd w:val="clear" w:color="auto" w:fill="005173"/>
      </w:tc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TablesourceChar">
    <w:name w:val="Table source Char"/>
    <w:link w:val="Tablesource"/>
    <w:rsid w:val="00A96344"/>
    <w:rPr>
      <w:rFonts w:ascii="Calibri" w:hAnsi="Calibri" w:cs="Calibri"/>
      <w:i/>
      <w:iCs/>
      <w:sz w:val="19"/>
      <w:szCs w:val="19"/>
      <w:lang w:eastAsia="fr-FR"/>
    </w:rPr>
  </w:style>
  <w:style w:type="paragraph" w:customStyle="1" w:styleId="Normalaftertitle">
    <w:name w:val="Normal_after_title"/>
    <w:basedOn w:val="Normal"/>
    <w:next w:val="Normal"/>
    <w:rsid w:val="00247767"/>
    <w:pPr>
      <w:tabs>
        <w:tab w:val="left" w:pos="794"/>
        <w:tab w:val="left" w:pos="1191"/>
        <w:tab w:val="left" w:pos="1588"/>
        <w:tab w:val="left" w:pos="1985"/>
      </w:tabs>
      <w:overflowPunct w:val="0"/>
      <w:autoSpaceDE w:val="0"/>
      <w:autoSpaceDN w:val="0"/>
      <w:adjustRightInd w:val="0"/>
      <w:spacing w:before="360"/>
      <w:textAlignment w:val="baseline"/>
    </w:pPr>
    <w:rPr>
      <w:rFonts w:asciiTheme="minorHAnsi" w:eastAsia="Times New Roman" w:hAnsiTheme="minorHAnsi"/>
      <w:szCs w:val="20"/>
      <w:lang w:val="en-GB" w:eastAsia="en-US"/>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160"/>
      <w:ind w:left="794"/>
      <w:jc w:val="left"/>
      <w:textAlignment w:val="baseline"/>
    </w:pPr>
    <w:rPr>
      <w:rFonts w:eastAsia="Times New Roman" w:cs="Times New Roman italic"/>
      <w:i/>
      <w:szCs w:val="20"/>
      <w:lang w:val="en-GB" w:eastAsia="en-US"/>
    </w:rPr>
  </w:style>
  <w:style w:type="table" w:customStyle="1" w:styleId="Style1">
    <w:name w:val="Style1"/>
    <w:basedOn w:val="TableNormal"/>
    <w:uiPriority w:val="99"/>
    <w:rsid w:val="00031084"/>
    <w:tblPr>
      <w:tblInd w:w="0" w:type="dxa"/>
      <w:tblCellMar>
        <w:top w:w="0" w:type="dxa"/>
        <w:left w:w="108" w:type="dxa"/>
        <w:bottom w:w="0" w:type="dxa"/>
        <w:right w:w="108" w:type="dxa"/>
      </w:tblCellMar>
    </w:tblPr>
    <w:tcPr>
      <w:shd w:val="clear" w:color="auto" w:fill="005173"/>
    </w:tcPr>
  </w:style>
  <w:style w:type="paragraph" w:customStyle="1" w:styleId="QuestionNo">
    <w:name w:val="Question_No"/>
    <w:basedOn w:val="Normal"/>
    <w:qFormat/>
    <w:rsid w:val="00821C93"/>
    <w:pPr>
      <w:jc w:val="right"/>
    </w:pPr>
    <w:rPr>
      <w:rFonts w:cs="Times New Roman Bold"/>
      <w:b/>
      <w:bCs/>
      <w:color w:val="005173"/>
      <w:sz w:val="52"/>
    </w:rPr>
  </w:style>
  <w:style w:type="paragraph" w:customStyle="1" w:styleId="QuestionTitle">
    <w:name w:val="Question Title"/>
    <w:basedOn w:val="Normal"/>
    <w:qFormat/>
    <w:rsid w:val="00821C93"/>
    <w:pPr>
      <w:spacing w:before="240"/>
      <w:jc w:val="right"/>
    </w:pPr>
    <w:rPr>
      <w:rFonts w:cs="Times New Roman Bold"/>
      <w:b/>
      <w:i/>
      <w:color w:val="005173"/>
      <w:sz w:val="48"/>
    </w:rPr>
  </w:style>
  <w:style w:type="paragraph" w:styleId="Title">
    <w:name w:val="Title"/>
    <w:basedOn w:val="Normal"/>
    <w:next w:val="Normal"/>
    <w:link w:val="TitleChar"/>
    <w:uiPriority w:val="10"/>
    <w:qFormat/>
    <w:rsid w:val="007B1D25"/>
    <w:pPr>
      <w:spacing w:before="240" w:after="60" w:line="276" w:lineRule="auto"/>
      <w:jc w:val="center"/>
      <w:outlineLvl w:val="0"/>
    </w:pPr>
    <w:rPr>
      <w:rFonts w:ascii="Cambria" w:eastAsia="Times New Roman" w:hAnsi="Cambria"/>
      <w:b/>
      <w:bCs/>
      <w:kern w:val="28"/>
      <w:sz w:val="32"/>
      <w:szCs w:val="32"/>
      <w:lang w:val="en-US" w:eastAsia="en-US"/>
    </w:rPr>
  </w:style>
  <w:style w:type="character" w:customStyle="1" w:styleId="TitleChar">
    <w:name w:val="Title Char"/>
    <w:basedOn w:val="DefaultParagraphFont"/>
    <w:link w:val="Title"/>
    <w:uiPriority w:val="10"/>
    <w:rsid w:val="007B1D25"/>
    <w:rPr>
      <w:rFonts w:ascii="Cambria" w:eastAsia="Times New Roman" w:hAnsi="Cambria"/>
      <w:b/>
      <w:bCs/>
      <w:kern w:val="28"/>
      <w:sz w:val="32"/>
      <w:szCs w:val="32"/>
      <w:lang w:eastAsia="en-US"/>
    </w:rPr>
  </w:style>
  <w:style w:type="character" w:customStyle="1" w:styleId="google-src-text1">
    <w:name w:val="google-src-text1"/>
    <w:rsid w:val="007B1D25"/>
    <w:rPr>
      <w:vanish/>
      <w:webHidden w:val="0"/>
      <w:specVanish w:val="0"/>
    </w:rPr>
  </w:style>
  <w:style w:type="table" w:styleId="Table3Deffects2">
    <w:name w:val="Table 3D effects 2"/>
    <w:basedOn w:val="TableNormal"/>
    <w:uiPriority w:val="99"/>
    <w:unhideWhenUsed/>
    <w:rsid w:val="007B1D25"/>
    <w:pPr>
      <w:spacing w:after="200" w:line="276" w:lineRule="auto"/>
    </w:pPr>
    <w:rPr>
      <w:rFonts w:ascii="Calibri" w:eastAsia="Calibri" w:hAnsi="Calibri"/>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TOCHeading">
    <w:name w:val="TOC Heading"/>
    <w:basedOn w:val="Heading1"/>
    <w:next w:val="Normal"/>
    <w:uiPriority w:val="39"/>
    <w:semiHidden/>
    <w:unhideWhenUsed/>
    <w:qFormat/>
    <w:rsid w:val="007B1D25"/>
    <w:pPr>
      <w:tabs>
        <w:tab w:val="clear" w:pos="851"/>
      </w:tabs>
      <w:spacing w:before="480" w:line="276" w:lineRule="auto"/>
      <w:jc w:val="left"/>
      <w:outlineLvl w:val="9"/>
    </w:pPr>
    <w:rPr>
      <w:rFonts w:asciiTheme="majorHAnsi" w:eastAsiaTheme="majorEastAsia" w:hAnsiTheme="majorHAnsi" w:cstheme="majorBidi"/>
      <w:color w:val="365F91" w:themeColor="accent1" w:themeShade="BF"/>
      <w:lang w:eastAsia="ja-JP"/>
    </w:rPr>
  </w:style>
  <w:style w:type="paragraph" w:styleId="Caption">
    <w:name w:val="caption"/>
    <w:basedOn w:val="Normal"/>
    <w:next w:val="Normal"/>
    <w:unhideWhenUsed/>
    <w:qFormat/>
    <w:rsid w:val="007B1D25"/>
    <w:pPr>
      <w:spacing w:before="0" w:after="120" w:line="276" w:lineRule="auto"/>
      <w:contextualSpacing/>
    </w:pPr>
    <w:rPr>
      <w:b/>
      <w:bCs/>
      <w:sz w:val="20"/>
      <w:szCs w:val="20"/>
      <w:lang w:val="en-US" w:eastAsia="zh-CN"/>
    </w:rPr>
  </w:style>
  <w:style w:type="character" w:styleId="Strong">
    <w:name w:val="Strong"/>
    <w:uiPriority w:val="22"/>
    <w:qFormat/>
    <w:rsid w:val="007B1D25"/>
    <w:rPr>
      <w:b/>
      <w:bCs/>
    </w:rPr>
  </w:style>
  <w:style w:type="table" w:customStyle="1" w:styleId="MediumShading2-Accent11">
    <w:name w:val="Medium Shading 2 - Accent 11"/>
    <w:basedOn w:val="TableNormal"/>
    <w:uiPriority w:val="64"/>
    <w:rsid w:val="007B1D25"/>
    <w:rPr>
      <w:rFonts w:ascii="Calibri" w:eastAsia="Calibri" w:hAnsi="Calibr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numbering" w:customStyle="1" w:styleId="Annexes">
    <w:name w:val="Annexes"/>
    <w:uiPriority w:val="99"/>
    <w:rsid w:val="007B1D25"/>
    <w:pPr>
      <w:numPr>
        <w:numId w:val="4"/>
      </w:numPr>
    </w:pPr>
  </w:style>
  <w:style w:type="paragraph" w:customStyle="1" w:styleId="Appendixtitle">
    <w:name w:val="Appendix_title"/>
    <w:basedOn w:val="Normal"/>
    <w:next w:val="Normal"/>
    <w:link w:val="AppendixtitleChar"/>
    <w:rsid w:val="007A0460"/>
    <w:pPr>
      <w:keepNext/>
      <w:keepLines/>
      <w:tabs>
        <w:tab w:val="left" w:pos="1134"/>
        <w:tab w:val="left" w:pos="1871"/>
        <w:tab w:val="left" w:pos="2268"/>
      </w:tabs>
      <w:overflowPunct w:val="0"/>
      <w:autoSpaceDE w:val="0"/>
      <w:autoSpaceDN w:val="0"/>
      <w:adjustRightInd w:val="0"/>
      <w:spacing w:before="240" w:after="280"/>
      <w:jc w:val="center"/>
      <w:textAlignment w:val="baseline"/>
    </w:pPr>
    <w:rPr>
      <w:rFonts w:ascii="Times New Roman Bold" w:eastAsia="Times New Roman" w:hAnsi="Times New Roman Bold"/>
      <w:b/>
      <w:bCs/>
      <w:sz w:val="26"/>
      <w:szCs w:val="20"/>
      <w:lang w:val="en-US" w:eastAsia="en-US"/>
    </w:rPr>
  </w:style>
  <w:style w:type="character" w:customStyle="1" w:styleId="AppendixtitleChar">
    <w:name w:val="Appendix_title Char"/>
    <w:basedOn w:val="DefaultParagraphFont"/>
    <w:link w:val="Appendixtitle"/>
    <w:locked/>
    <w:rsid w:val="007A0460"/>
    <w:rPr>
      <w:rFonts w:ascii="Times New Roman Bold" w:eastAsia="Times New Roman" w:hAnsi="Times New Roman Bold"/>
      <w:b/>
      <w:bCs/>
      <w:sz w:val="26"/>
      <w:lang w:eastAsia="en-US"/>
    </w:rPr>
  </w:style>
  <w:style w:type="paragraph" w:styleId="ListParagraph">
    <w:name w:val="List Paragraph"/>
    <w:basedOn w:val="Normal"/>
    <w:uiPriority w:val="34"/>
    <w:qFormat/>
    <w:rsid w:val="00FF489F"/>
    <w:pPr>
      <w:spacing w:after="120"/>
      <w:ind w:left="720"/>
      <w:contextualSpacing/>
      <w:jc w:val="left"/>
    </w:pPr>
    <w:rPr>
      <w:rFonts w:ascii="Verdana" w:eastAsia="SimHei" w:hAnsi="Verdana" w:cs="Simplified Arabic"/>
      <w:bCs/>
      <w:sz w:val="19"/>
      <w:szCs w:val="28"/>
      <w:lang w:val="en-US" w:eastAsia="zh-CN"/>
    </w:rPr>
  </w:style>
  <w:style w:type="paragraph" w:customStyle="1" w:styleId="Numberedpara">
    <w:name w:val="Numbered para"/>
    <w:basedOn w:val="Normal"/>
    <w:link w:val="NumberedparaChar"/>
    <w:autoRedefine/>
    <w:rsid w:val="00FF489F"/>
    <w:pPr>
      <w:tabs>
        <w:tab w:val="left" w:pos="0"/>
        <w:tab w:val="left" w:pos="630"/>
      </w:tabs>
      <w:spacing w:before="240"/>
    </w:pPr>
    <w:rPr>
      <w:rFonts w:ascii="Arial" w:hAnsi="Arial" w:cs="Arial"/>
      <w:color w:val="000000"/>
      <w:sz w:val="24"/>
      <w:szCs w:val="24"/>
      <w:lang w:val="en-US" w:eastAsia="zh-CN"/>
    </w:rPr>
  </w:style>
  <w:style w:type="character" w:customStyle="1" w:styleId="NumberedparaChar">
    <w:name w:val="Numbered para Char"/>
    <w:basedOn w:val="DefaultParagraphFont"/>
    <w:link w:val="Numberedpara"/>
    <w:rsid w:val="00FF489F"/>
    <w:rPr>
      <w:rFonts w:ascii="Arial" w:hAnsi="Arial" w:cs="Arial"/>
      <w:color w:val="000000"/>
      <w:sz w:val="24"/>
      <w:szCs w:val="24"/>
    </w:rPr>
  </w:style>
  <w:style w:type="paragraph" w:styleId="TOC4">
    <w:name w:val="toc 4"/>
    <w:basedOn w:val="Normal"/>
    <w:next w:val="Normal"/>
    <w:autoRedefine/>
    <w:uiPriority w:val="39"/>
    <w:unhideWhenUsed/>
    <w:rsid w:val="0066095D"/>
    <w:pPr>
      <w:spacing w:before="0" w:after="100" w:line="276" w:lineRule="auto"/>
      <w:ind w:left="660"/>
      <w:jc w:val="left"/>
    </w:pPr>
    <w:rPr>
      <w:rFonts w:asciiTheme="minorHAnsi" w:eastAsiaTheme="minorEastAsia" w:hAnsiTheme="minorHAnsi" w:cstheme="minorBidi"/>
      <w:sz w:val="22"/>
      <w:lang w:val="ru-RU" w:eastAsia="zh-CN"/>
    </w:rPr>
  </w:style>
  <w:style w:type="paragraph" w:styleId="TOC5">
    <w:name w:val="toc 5"/>
    <w:basedOn w:val="Normal"/>
    <w:next w:val="Normal"/>
    <w:autoRedefine/>
    <w:uiPriority w:val="39"/>
    <w:unhideWhenUsed/>
    <w:rsid w:val="0066095D"/>
    <w:pPr>
      <w:spacing w:before="0" w:after="100" w:line="276" w:lineRule="auto"/>
      <w:ind w:left="880"/>
      <w:jc w:val="left"/>
    </w:pPr>
    <w:rPr>
      <w:rFonts w:asciiTheme="minorHAnsi" w:eastAsiaTheme="minorEastAsia" w:hAnsiTheme="minorHAnsi" w:cstheme="minorBidi"/>
      <w:sz w:val="22"/>
      <w:lang w:val="ru-RU" w:eastAsia="zh-CN"/>
    </w:rPr>
  </w:style>
  <w:style w:type="paragraph" w:styleId="TOC6">
    <w:name w:val="toc 6"/>
    <w:basedOn w:val="Normal"/>
    <w:next w:val="Normal"/>
    <w:autoRedefine/>
    <w:uiPriority w:val="39"/>
    <w:unhideWhenUsed/>
    <w:rsid w:val="0066095D"/>
    <w:pPr>
      <w:spacing w:before="0" w:after="100" w:line="276" w:lineRule="auto"/>
      <w:ind w:left="1100"/>
      <w:jc w:val="left"/>
    </w:pPr>
    <w:rPr>
      <w:rFonts w:asciiTheme="minorHAnsi" w:eastAsiaTheme="minorEastAsia" w:hAnsiTheme="minorHAnsi" w:cstheme="minorBidi"/>
      <w:sz w:val="22"/>
      <w:lang w:val="ru-RU" w:eastAsia="zh-CN"/>
    </w:rPr>
  </w:style>
  <w:style w:type="paragraph" w:styleId="TOC7">
    <w:name w:val="toc 7"/>
    <w:basedOn w:val="Normal"/>
    <w:next w:val="Normal"/>
    <w:autoRedefine/>
    <w:uiPriority w:val="39"/>
    <w:unhideWhenUsed/>
    <w:rsid w:val="0066095D"/>
    <w:pPr>
      <w:spacing w:before="0" w:after="100" w:line="276" w:lineRule="auto"/>
      <w:ind w:left="1320"/>
      <w:jc w:val="left"/>
    </w:pPr>
    <w:rPr>
      <w:rFonts w:asciiTheme="minorHAnsi" w:eastAsiaTheme="minorEastAsia" w:hAnsiTheme="minorHAnsi" w:cstheme="minorBidi"/>
      <w:sz w:val="22"/>
      <w:lang w:val="ru-RU" w:eastAsia="zh-CN"/>
    </w:rPr>
  </w:style>
  <w:style w:type="paragraph" w:styleId="TOC8">
    <w:name w:val="toc 8"/>
    <w:basedOn w:val="Normal"/>
    <w:next w:val="Normal"/>
    <w:autoRedefine/>
    <w:uiPriority w:val="39"/>
    <w:unhideWhenUsed/>
    <w:rsid w:val="0066095D"/>
    <w:pPr>
      <w:spacing w:before="0" w:after="100" w:line="276" w:lineRule="auto"/>
      <w:ind w:left="1540"/>
      <w:jc w:val="left"/>
    </w:pPr>
    <w:rPr>
      <w:rFonts w:asciiTheme="minorHAnsi" w:eastAsiaTheme="minorEastAsia" w:hAnsiTheme="minorHAnsi" w:cstheme="minorBidi"/>
      <w:sz w:val="22"/>
      <w:lang w:val="ru-RU" w:eastAsia="zh-CN"/>
    </w:rPr>
  </w:style>
  <w:style w:type="paragraph" w:styleId="TOC9">
    <w:name w:val="toc 9"/>
    <w:basedOn w:val="Normal"/>
    <w:next w:val="Normal"/>
    <w:autoRedefine/>
    <w:uiPriority w:val="39"/>
    <w:unhideWhenUsed/>
    <w:rsid w:val="0066095D"/>
    <w:pPr>
      <w:spacing w:before="0" w:after="100" w:line="276" w:lineRule="auto"/>
      <w:ind w:left="1760"/>
      <w:jc w:val="left"/>
    </w:pPr>
    <w:rPr>
      <w:rFonts w:asciiTheme="minorHAnsi" w:eastAsiaTheme="minorEastAsia" w:hAnsiTheme="minorHAnsi" w:cstheme="minorBidi"/>
      <w:sz w:val="22"/>
      <w:lang w:val="ru-RU" w:eastAsia="zh-CN"/>
    </w:rPr>
  </w:style>
  <w:style w:type="paragraph" w:customStyle="1" w:styleId="CEOcontributionStart">
    <w:name w:val="CEO_contributionStart"/>
    <w:basedOn w:val="Normal"/>
    <w:rsid w:val="00B92F57"/>
    <w:pPr>
      <w:spacing w:before="360" w:after="120"/>
      <w:jc w:val="left"/>
    </w:pPr>
    <w:rPr>
      <w:rFonts w:ascii="Verdana" w:eastAsia="SimHei" w:hAnsi="Verdana" w:cs="Simplified Arabic"/>
      <w:sz w:val="19"/>
      <w:szCs w:val="19"/>
      <w:lang w:val="en-GB" w:eastAsia="en-US"/>
    </w:rPr>
  </w:style>
  <w:style w:type="paragraph" w:styleId="TableofFigures">
    <w:name w:val="table of figures"/>
    <w:basedOn w:val="Normal"/>
    <w:next w:val="Normal"/>
    <w:uiPriority w:val="99"/>
    <w:rsid w:val="007B674D"/>
    <w:pPr>
      <w:jc w:val="left"/>
    </w:pPr>
    <w:rPr>
      <w:rFonts w:ascii="Verdana" w:eastAsia="SimHei" w:hAnsi="Verdana" w:cs="Simplified Arabic"/>
      <w:bCs/>
      <w:sz w:val="19"/>
      <w:szCs w:val="28"/>
      <w:lang w:val="en-US" w:eastAsia="zh-CN"/>
    </w:rPr>
  </w:style>
  <w:style w:type="paragraph" w:styleId="BalloonText">
    <w:name w:val="Balloon Text"/>
    <w:basedOn w:val="Normal"/>
    <w:link w:val="BalloonTextChar"/>
    <w:rsid w:val="00780534"/>
    <w:pPr>
      <w:spacing w:before="0"/>
    </w:pPr>
    <w:rPr>
      <w:rFonts w:ascii="Tahoma" w:hAnsi="Tahoma" w:cs="Tahoma"/>
      <w:sz w:val="16"/>
      <w:szCs w:val="16"/>
    </w:rPr>
  </w:style>
  <w:style w:type="character" w:customStyle="1" w:styleId="BalloonTextChar">
    <w:name w:val="Balloon Text Char"/>
    <w:basedOn w:val="DefaultParagraphFont"/>
    <w:link w:val="BalloonText"/>
    <w:rsid w:val="00780534"/>
    <w:rPr>
      <w:rFonts w:ascii="Tahoma" w:hAnsi="Tahoma" w:cs="Tahoma"/>
      <w:sz w:val="16"/>
      <w:szCs w:val="16"/>
      <w:lang w:val="fr-FR" w:eastAsia="fr-FR"/>
    </w:rPr>
  </w:style>
  <w:style w:type="paragraph" w:customStyle="1" w:styleId="CEOParagraph11">
    <w:name w:val="CEO_Paragraph 1.1"/>
    <w:basedOn w:val="Heading2"/>
    <w:rsid w:val="00551995"/>
    <w:pPr>
      <w:keepNext w:val="0"/>
      <w:numPr>
        <w:ilvl w:val="1"/>
      </w:numPr>
      <w:tabs>
        <w:tab w:val="clear" w:pos="851"/>
        <w:tab w:val="num" w:pos="576"/>
      </w:tabs>
      <w:spacing w:before="120" w:after="120"/>
      <w:ind w:left="576" w:hanging="576"/>
      <w:jc w:val="left"/>
    </w:pPr>
    <w:rPr>
      <w:rFonts w:ascii="Verdana" w:eastAsia="SimHei" w:hAnsi="Verdana" w:cs="Simplified Arabic"/>
      <w:b w:val="0"/>
      <w:bCs w:val="0"/>
      <w:color w:val="auto"/>
      <w:sz w:val="18"/>
      <w:szCs w:val="28"/>
      <w:lang w:val="en-GB" w:eastAsia="zh-CN"/>
    </w:rPr>
  </w:style>
  <w:style w:type="paragraph" w:customStyle="1" w:styleId="CEOHeader1">
    <w:name w:val="CEO_Header1"/>
    <w:basedOn w:val="Normal"/>
    <w:rsid w:val="00551995"/>
    <w:pPr>
      <w:numPr>
        <w:numId w:val="5"/>
      </w:numPr>
      <w:spacing w:before="0"/>
      <w:jc w:val="left"/>
    </w:pPr>
    <w:rPr>
      <w:rFonts w:ascii="Verdana" w:eastAsia="SimHei" w:hAnsi="Verdana" w:cs="Simplified Arabic"/>
      <w:bCs/>
      <w:sz w:val="19"/>
      <w:szCs w:val="19"/>
      <w:lang w:val="en-US" w:eastAsia="en-US"/>
    </w:rPr>
  </w:style>
  <w:style w:type="paragraph" w:customStyle="1" w:styleId="CEOFooterContact2-3">
    <w:name w:val="CEO_FooterContact2-3"/>
    <w:basedOn w:val="Normal"/>
    <w:rsid w:val="002933A3"/>
    <w:pPr>
      <w:spacing w:before="0" w:after="120"/>
      <w:ind w:left="3827" w:hanging="2268"/>
      <w:jc w:val="left"/>
    </w:pPr>
    <w:rPr>
      <w:rFonts w:ascii="Verdana" w:eastAsia="SimHei" w:hAnsi="Verdana" w:cs="Simplified Arabic"/>
      <w:bCs/>
      <w:sz w:val="16"/>
      <w:szCs w:val="16"/>
      <w:lang w:val="en-US" w:eastAsia="zh-CN"/>
    </w:rPr>
  </w:style>
  <w:style w:type="paragraph" w:customStyle="1" w:styleId="CEODocTitle2lines-Second">
    <w:name w:val="CEO_DocTitle2lines-Second"/>
    <w:basedOn w:val="CEODocTitle2lines-First"/>
    <w:rsid w:val="002933A3"/>
    <w:pPr>
      <w:spacing w:before="0" w:after="480"/>
    </w:pPr>
  </w:style>
  <w:style w:type="paragraph" w:customStyle="1" w:styleId="CEODocTitle2lines-First">
    <w:name w:val="CEO_DocTitle2lines-First"/>
    <w:basedOn w:val="CEODocTitle-1line"/>
    <w:next w:val="Normal"/>
    <w:rsid w:val="002933A3"/>
    <w:pPr>
      <w:spacing w:after="0"/>
    </w:pPr>
  </w:style>
  <w:style w:type="paragraph" w:customStyle="1" w:styleId="CEODocTitle-1line">
    <w:name w:val="CEO_DocTitle-1line"/>
    <w:basedOn w:val="Normal"/>
    <w:next w:val="Normal"/>
    <w:rsid w:val="002933A3"/>
    <w:pPr>
      <w:spacing w:before="480" w:after="480"/>
      <w:jc w:val="center"/>
    </w:pPr>
    <w:rPr>
      <w:rFonts w:ascii="Verdana" w:eastAsia="SimHei" w:hAnsi="Verdana" w:cs="Simplified Arabic"/>
      <w:b/>
      <w:bCs/>
      <w:sz w:val="28"/>
      <w:szCs w:val="28"/>
      <w:lang w:val="en-US" w:eastAsia="en-US"/>
    </w:rPr>
  </w:style>
  <w:style w:type="paragraph" w:customStyle="1" w:styleId="CEOcontributionH1">
    <w:name w:val="CEO_contributionH1"/>
    <w:basedOn w:val="CEOcontribution-H123"/>
    <w:rsid w:val="002933A3"/>
    <w:pPr>
      <w:keepNext/>
      <w:keepLines/>
      <w:numPr>
        <w:numId w:val="0"/>
      </w:numPr>
      <w:spacing w:before="480"/>
    </w:pPr>
  </w:style>
  <w:style w:type="paragraph" w:customStyle="1" w:styleId="CEOcontribution-H123">
    <w:name w:val="CEO_contribution-H123"/>
    <w:basedOn w:val="Normal"/>
    <w:rsid w:val="002933A3"/>
    <w:pPr>
      <w:numPr>
        <w:numId w:val="11"/>
      </w:numPr>
      <w:tabs>
        <w:tab w:val="clear" w:pos="720"/>
        <w:tab w:val="num" w:pos="567"/>
      </w:tabs>
      <w:spacing w:after="120"/>
      <w:ind w:left="567" w:hanging="567"/>
      <w:jc w:val="left"/>
    </w:pPr>
    <w:rPr>
      <w:rFonts w:ascii="Verdana" w:eastAsia="SimHei" w:hAnsi="Verdana" w:cs="Simplified Arabic"/>
      <w:b/>
      <w:sz w:val="19"/>
      <w:szCs w:val="19"/>
      <w:lang w:val="en-GB" w:eastAsia="en-US"/>
    </w:rPr>
  </w:style>
  <w:style w:type="paragraph" w:customStyle="1" w:styleId="CEOFooterContact1">
    <w:name w:val="CEO_FooterContact1"/>
    <w:basedOn w:val="Normal"/>
    <w:next w:val="CEOFooterContact2-3"/>
    <w:rsid w:val="002933A3"/>
    <w:pPr>
      <w:pBdr>
        <w:top w:val="single" w:sz="4" w:space="5" w:color="auto"/>
      </w:pBdr>
      <w:tabs>
        <w:tab w:val="left" w:pos="1560"/>
      </w:tabs>
      <w:spacing w:after="120"/>
      <w:ind w:left="3827" w:hanging="3827"/>
      <w:jc w:val="left"/>
    </w:pPr>
    <w:rPr>
      <w:rFonts w:ascii="Verdana" w:eastAsia="SimHei" w:hAnsi="Verdana" w:cs="Simplified Arabic"/>
      <w:bCs/>
      <w:sz w:val="16"/>
      <w:szCs w:val="16"/>
      <w:lang w:val="en-US" w:eastAsia="zh-CN"/>
    </w:rPr>
  </w:style>
  <w:style w:type="paragraph" w:customStyle="1" w:styleId="CEOForAction">
    <w:name w:val="CEO_ForAction"/>
    <w:basedOn w:val="Normal"/>
    <w:next w:val="CEOSourceTitle"/>
    <w:rsid w:val="002933A3"/>
    <w:pPr>
      <w:spacing w:after="120"/>
      <w:ind w:left="743"/>
      <w:jc w:val="left"/>
    </w:pPr>
    <w:rPr>
      <w:rFonts w:ascii="Verdana" w:eastAsia="SimHei" w:hAnsi="Verdana" w:cs="Simplified Arabic"/>
      <w:b/>
      <w:iCs/>
      <w:sz w:val="19"/>
      <w:szCs w:val="28"/>
      <w:lang w:val="en-US" w:eastAsia="zh-CN"/>
    </w:rPr>
  </w:style>
  <w:style w:type="paragraph" w:customStyle="1" w:styleId="CEOSourceTitle">
    <w:name w:val="CEO_Source_Title"/>
    <w:basedOn w:val="Normal"/>
    <w:rsid w:val="002933A3"/>
    <w:pPr>
      <w:spacing w:after="120"/>
      <w:jc w:val="left"/>
    </w:pPr>
    <w:rPr>
      <w:rFonts w:ascii="Verdana" w:eastAsia="SimHei" w:hAnsi="Verdana" w:cs="Simplified Arabic"/>
      <w:b/>
      <w:sz w:val="19"/>
      <w:szCs w:val="19"/>
      <w:lang w:val="en-GB" w:eastAsia="en-US"/>
    </w:rPr>
  </w:style>
  <w:style w:type="paragraph" w:customStyle="1" w:styleId="CEOIndent1-123">
    <w:name w:val="CEO_Indent1-123"/>
    <w:basedOn w:val="Normal"/>
    <w:rsid w:val="002933A3"/>
    <w:pPr>
      <w:numPr>
        <w:numId w:val="6"/>
      </w:numPr>
      <w:spacing w:before="60" w:after="60"/>
      <w:ind w:right="709"/>
      <w:jc w:val="left"/>
    </w:pPr>
    <w:rPr>
      <w:rFonts w:ascii="Verdana" w:eastAsia="SimHei" w:hAnsi="Verdana" w:cs="Simplified Arabic"/>
      <w:bCs/>
      <w:sz w:val="19"/>
      <w:szCs w:val="19"/>
      <w:lang w:val="en-US" w:eastAsia="en-US"/>
    </w:rPr>
  </w:style>
  <w:style w:type="paragraph" w:customStyle="1" w:styleId="CEOAgendaItemN">
    <w:name w:val="CEO_AgendaItemN°"/>
    <w:basedOn w:val="CEOIndent1-123"/>
    <w:rsid w:val="002933A3"/>
    <w:pPr>
      <w:numPr>
        <w:numId w:val="0"/>
      </w:numPr>
      <w:ind w:right="12"/>
      <w:jc w:val="right"/>
    </w:pPr>
  </w:style>
  <w:style w:type="paragraph" w:customStyle="1" w:styleId="CEODocDates">
    <w:name w:val="CEO_DocDates"/>
    <w:basedOn w:val="Normal"/>
    <w:next w:val="Normal"/>
    <w:rsid w:val="002933A3"/>
    <w:pPr>
      <w:spacing w:before="0"/>
      <w:jc w:val="left"/>
    </w:pPr>
    <w:rPr>
      <w:rFonts w:ascii="Verdana" w:eastAsia="SimHei" w:hAnsi="Verdana" w:cs="Simplified Arabic"/>
      <w:b/>
      <w:sz w:val="19"/>
      <w:szCs w:val="19"/>
      <w:lang w:val="en-GB" w:eastAsia="en-US"/>
    </w:rPr>
  </w:style>
  <w:style w:type="paragraph" w:customStyle="1" w:styleId="CEODocNo">
    <w:name w:val="CEO_DocNo"/>
    <w:basedOn w:val="Normal"/>
    <w:next w:val="Normal"/>
    <w:rsid w:val="002933A3"/>
    <w:pPr>
      <w:spacing w:before="0"/>
      <w:jc w:val="left"/>
    </w:pPr>
    <w:rPr>
      <w:rFonts w:ascii="Verdana" w:eastAsia="SimHei" w:hAnsi="Verdana" w:cs="Simplified Arabic"/>
      <w:b/>
      <w:sz w:val="19"/>
      <w:szCs w:val="19"/>
      <w:lang w:val="en-GB" w:eastAsia="en-US"/>
    </w:rPr>
  </w:style>
  <w:style w:type="paragraph" w:customStyle="1" w:styleId="CEODocNoDetails">
    <w:name w:val="CEO_DocNoDetails"/>
    <w:basedOn w:val="Normal"/>
    <w:rsid w:val="002933A3"/>
    <w:pPr>
      <w:spacing w:before="80" w:after="80"/>
      <w:jc w:val="center"/>
    </w:pPr>
    <w:rPr>
      <w:rFonts w:ascii="Verdana" w:eastAsia="SimHei" w:hAnsi="Verdana" w:cs="Simplified Arabic"/>
      <w:bCs/>
      <w:sz w:val="19"/>
      <w:szCs w:val="19"/>
      <w:lang w:val="en-GB" w:eastAsia="en-US"/>
    </w:rPr>
  </w:style>
  <w:style w:type="paragraph" w:customStyle="1" w:styleId="CEOFooter">
    <w:name w:val="CEO_Footer"/>
    <w:basedOn w:val="Normal"/>
    <w:rsid w:val="002933A3"/>
    <w:pPr>
      <w:tabs>
        <w:tab w:val="right" w:pos="9072"/>
      </w:tabs>
      <w:spacing w:before="0"/>
      <w:jc w:val="left"/>
    </w:pPr>
    <w:rPr>
      <w:rFonts w:ascii="Verdana" w:eastAsia="SimHei" w:hAnsi="Verdana" w:cs="Simplified Arabic"/>
      <w:bCs/>
      <w:sz w:val="16"/>
      <w:szCs w:val="19"/>
      <w:lang w:val="en-GB" w:eastAsia="en-US"/>
    </w:rPr>
  </w:style>
  <w:style w:type="paragraph" w:customStyle="1" w:styleId="CEOHeader2">
    <w:name w:val="CEO_Header2"/>
    <w:basedOn w:val="Normal"/>
    <w:rsid w:val="002933A3"/>
    <w:pPr>
      <w:spacing w:before="720"/>
      <w:jc w:val="left"/>
    </w:pPr>
    <w:rPr>
      <w:rFonts w:ascii="Verdana" w:eastAsia="SimHei" w:hAnsi="Verdana" w:cs="Simplified Arabic"/>
      <w:bCs/>
      <w:sz w:val="19"/>
      <w:szCs w:val="19"/>
      <w:lang w:val="en-US" w:eastAsia="en-US"/>
    </w:rPr>
  </w:style>
  <w:style w:type="paragraph" w:customStyle="1" w:styleId="CEOHeaderPageNumber">
    <w:name w:val="CEO_HeaderPageNumber"/>
    <w:basedOn w:val="Normal"/>
    <w:rsid w:val="002933A3"/>
    <w:pPr>
      <w:tabs>
        <w:tab w:val="center" w:pos="4536"/>
        <w:tab w:val="right" w:pos="9072"/>
      </w:tabs>
      <w:spacing w:before="0"/>
      <w:jc w:val="right"/>
    </w:pPr>
    <w:rPr>
      <w:rFonts w:ascii="Verdana" w:eastAsia="SimHei" w:hAnsi="Verdana" w:cs="Simplified Arabic"/>
      <w:bCs/>
      <w:smallCaps/>
      <w:sz w:val="19"/>
      <w:szCs w:val="19"/>
      <w:lang w:val="en-US" w:eastAsia="en-US"/>
    </w:rPr>
  </w:style>
  <w:style w:type="paragraph" w:customStyle="1" w:styleId="CEOParagraph111">
    <w:name w:val="CEO_Paragraph1.1.1"/>
    <w:basedOn w:val="Heading3"/>
    <w:rsid w:val="002933A3"/>
    <w:pPr>
      <w:keepNext w:val="0"/>
      <w:numPr>
        <w:ilvl w:val="2"/>
        <w:numId w:val="5"/>
      </w:numPr>
      <w:tabs>
        <w:tab w:val="clear" w:pos="851"/>
        <w:tab w:val="clear" w:pos="2160"/>
        <w:tab w:val="num" w:pos="720"/>
      </w:tabs>
      <w:spacing w:before="0"/>
      <w:ind w:left="720" w:hanging="720"/>
      <w:jc w:val="left"/>
    </w:pPr>
    <w:rPr>
      <w:rFonts w:ascii="Verdana" w:eastAsia="SimHei" w:hAnsi="Verdana" w:cs="Simplified Arabic"/>
      <w:b w:val="0"/>
      <w:bCs w:val="0"/>
      <w:i w:val="0"/>
      <w:iCs w:val="0"/>
      <w:color w:val="auto"/>
      <w:sz w:val="19"/>
      <w:szCs w:val="28"/>
      <w:lang w:val="en-GB" w:eastAsia="zh-CN"/>
    </w:rPr>
  </w:style>
  <w:style w:type="paragraph" w:customStyle="1" w:styleId="CEOindent-abc">
    <w:name w:val="CEO_indent-abc"/>
    <w:basedOn w:val="Normal"/>
    <w:rsid w:val="002933A3"/>
    <w:pPr>
      <w:numPr>
        <w:ilvl w:val="1"/>
        <w:numId w:val="7"/>
      </w:numPr>
      <w:spacing w:before="0"/>
      <w:jc w:val="left"/>
    </w:pPr>
    <w:rPr>
      <w:rFonts w:ascii="Verdana" w:eastAsia="SimHei" w:hAnsi="Verdana" w:cs="Traditional Arabic"/>
      <w:bCs/>
      <w:sz w:val="18"/>
      <w:szCs w:val="28"/>
      <w:lang w:val="en-GB" w:eastAsia="en-US"/>
    </w:rPr>
  </w:style>
  <w:style w:type="paragraph" w:customStyle="1" w:styleId="CEOIndent-bulletsblackdot">
    <w:name w:val="CEO_Indent-bulletsblackdot"/>
    <w:basedOn w:val="Normal"/>
    <w:rsid w:val="002933A3"/>
    <w:pPr>
      <w:numPr>
        <w:numId w:val="8"/>
      </w:numPr>
      <w:tabs>
        <w:tab w:val="clear" w:pos="426"/>
        <w:tab w:val="num" w:pos="284"/>
      </w:tabs>
      <w:spacing w:before="60" w:after="60"/>
      <w:ind w:left="284"/>
      <w:jc w:val="left"/>
    </w:pPr>
    <w:rPr>
      <w:rFonts w:ascii="Verdana" w:eastAsia="SimHei" w:hAnsi="Verdana" w:cs="Simplified Arabic"/>
      <w:bCs/>
      <w:sz w:val="19"/>
      <w:szCs w:val="19"/>
      <w:lang w:val="en-GB" w:eastAsia="en-US"/>
    </w:rPr>
  </w:style>
  <w:style w:type="paragraph" w:customStyle="1" w:styleId="CEOIndent-bulletsBlueSquare">
    <w:name w:val="CEO_Indent-bulletsBlueSquare"/>
    <w:basedOn w:val="CEOIndent-bulletsblackdot"/>
    <w:rsid w:val="002933A3"/>
    <w:pPr>
      <w:numPr>
        <w:numId w:val="9"/>
      </w:numPr>
    </w:pPr>
  </w:style>
  <w:style w:type="paragraph" w:customStyle="1" w:styleId="CEOMeetingDates">
    <w:name w:val="CEO_MeetingDates"/>
    <w:basedOn w:val="Normal"/>
    <w:rsid w:val="002933A3"/>
    <w:pPr>
      <w:spacing w:before="0" w:after="40"/>
      <w:jc w:val="left"/>
    </w:pPr>
    <w:rPr>
      <w:rFonts w:ascii="Verdana" w:eastAsia="SimHei" w:hAnsi="Verdana" w:cs="Simplified Arabic"/>
      <w:b/>
      <w:sz w:val="19"/>
      <w:szCs w:val="19"/>
      <w:lang w:val="en-GB" w:eastAsia="en-US"/>
    </w:rPr>
  </w:style>
  <w:style w:type="paragraph" w:customStyle="1" w:styleId="CEOMeetingName">
    <w:name w:val="CEO_MeetingName"/>
    <w:basedOn w:val="Normal"/>
    <w:rsid w:val="002933A3"/>
    <w:pPr>
      <w:spacing w:before="0"/>
      <w:jc w:val="left"/>
    </w:pPr>
    <w:rPr>
      <w:rFonts w:ascii="Verdana" w:eastAsia="SimHei" w:hAnsi="Verdana" w:cs="Simplified Arabic"/>
      <w:b/>
      <w:sz w:val="19"/>
      <w:szCs w:val="19"/>
      <w:lang w:val="en-GB" w:eastAsia="en-US"/>
    </w:rPr>
  </w:style>
  <w:style w:type="paragraph" w:customStyle="1" w:styleId="CEOOriginalLanguage">
    <w:name w:val="CEO_OriginalLanguage"/>
    <w:basedOn w:val="Normal"/>
    <w:next w:val="Normal"/>
    <w:rsid w:val="002933A3"/>
    <w:pPr>
      <w:spacing w:before="240" w:after="120"/>
      <w:jc w:val="left"/>
    </w:pPr>
    <w:rPr>
      <w:rFonts w:ascii="Verdana" w:eastAsia="SimHei" w:hAnsi="Verdana" w:cs="Simplified Arabic"/>
      <w:b/>
      <w:sz w:val="19"/>
      <w:szCs w:val="19"/>
      <w:lang w:val="en-GB" w:eastAsia="en-US"/>
    </w:rPr>
  </w:style>
  <w:style w:type="paragraph" w:customStyle="1" w:styleId="CEOQuestion">
    <w:name w:val="CEO_Question"/>
    <w:basedOn w:val="CEOOriginalLanguage"/>
    <w:rsid w:val="002933A3"/>
    <w:pPr>
      <w:tabs>
        <w:tab w:val="left" w:pos="2098"/>
      </w:tabs>
      <w:ind w:left="2098" w:hanging="2098"/>
    </w:pPr>
    <w:rPr>
      <w:lang w:val="fr-CH"/>
    </w:rPr>
  </w:style>
  <w:style w:type="paragraph" w:customStyle="1" w:styleId="CEOQuestionDetails">
    <w:name w:val="CEO_QuestionDetails"/>
    <w:basedOn w:val="CEOOriginalLanguage"/>
    <w:rsid w:val="002933A3"/>
    <w:rPr>
      <w:b w:val="0"/>
      <w:bCs/>
    </w:rPr>
  </w:style>
  <w:style w:type="paragraph" w:customStyle="1" w:styleId="CEOSectorName">
    <w:name w:val="CEO_SectorName"/>
    <w:basedOn w:val="Normal"/>
    <w:rsid w:val="002933A3"/>
    <w:pPr>
      <w:spacing w:after="120"/>
      <w:jc w:val="left"/>
    </w:pPr>
    <w:rPr>
      <w:rFonts w:ascii="Verdana" w:eastAsia="SimHei" w:hAnsi="Verdana" w:cs="Simplified Arabic"/>
      <w:b/>
      <w:sz w:val="26"/>
      <w:szCs w:val="28"/>
      <w:lang w:val="en-GB" w:eastAsia="en-US"/>
    </w:rPr>
  </w:style>
  <w:style w:type="paragraph" w:customStyle="1" w:styleId="CEOSignatureName">
    <w:name w:val="CEO_SignatureName"/>
    <w:basedOn w:val="Normal"/>
    <w:rsid w:val="002933A3"/>
    <w:pPr>
      <w:spacing w:before="720"/>
      <w:jc w:val="left"/>
    </w:pPr>
    <w:rPr>
      <w:rFonts w:ascii="Verdana" w:eastAsia="SimHei" w:hAnsi="Verdana" w:cs="Simplified Arabic"/>
      <w:bCs/>
      <w:sz w:val="19"/>
      <w:szCs w:val="19"/>
      <w:lang w:val="en-GB" w:eastAsia="en-US"/>
    </w:rPr>
  </w:style>
  <w:style w:type="paragraph" w:customStyle="1" w:styleId="CEOSignatureTitle">
    <w:name w:val="CEO_SignatureTitle"/>
    <w:basedOn w:val="CEOSignatureName"/>
    <w:rsid w:val="002933A3"/>
    <w:pPr>
      <w:spacing w:before="0"/>
    </w:pPr>
  </w:style>
  <w:style w:type="paragraph" w:customStyle="1" w:styleId="CEOSourceTitleDetails">
    <w:name w:val="CEO_SourceTitleDetails"/>
    <w:basedOn w:val="Normal"/>
    <w:rsid w:val="002933A3"/>
    <w:pPr>
      <w:spacing w:after="120"/>
      <w:jc w:val="left"/>
    </w:pPr>
    <w:rPr>
      <w:rFonts w:ascii="Verdana" w:eastAsia="SimHei" w:hAnsi="Verdana" w:cs="Simplified Arabic"/>
      <w:bCs/>
      <w:sz w:val="19"/>
      <w:szCs w:val="19"/>
      <w:lang w:val="en-GB" w:eastAsia="en-US"/>
    </w:rPr>
  </w:style>
  <w:style w:type="paragraph" w:customStyle="1" w:styleId="CEOSTG">
    <w:name w:val="CEO_STG"/>
    <w:basedOn w:val="CEOOriginalLanguage"/>
    <w:rsid w:val="002933A3"/>
    <w:pPr>
      <w:spacing w:before="120"/>
      <w:jc w:val="center"/>
    </w:pPr>
  </w:style>
  <w:style w:type="paragraph" w:customStyle="1" w:styleId="CEOindent-endash">
    <w:name w:val="CEO_indent-endash"/>
    <w:basedOn w:val="CEOEmdashList"/>
    <w:rsid w:val="002933A3"/>
    <w:pPr>
      <w:numPr>
        <w:numId w:val="10"/>
      </w:numPr>
    </w:pPr>
  </w:style>
  <w:style w:type="paragraph" w:customStyle="1" w:styleId="CEOEmdashList">
    <w:name w:val="CEO_EmdashList"/>
    <w:basedOn w:val="Normal"/>
    <w:rsid w:val="002933A3"/>
    <w:pPr>
      <w:spacing w:after="120"/>
      <w:jc w:val="left"/>
    </w:pPr>
    <w:rPr>
      <w:rFonts w:ascii="Verdana" w:eastAsia="SimHei" w:hAnsi="Verdana" w:cs="Simplified Arabic"/>
      <w:bCs/>
      <w:sz w:val="19"/>
      <w:szCs w:val="28"/>
      <w:lang w:val="en-US" w:eastAsia="zh-CN"/>
    </w:rPr>
  </w:style>
  <w:style w:type="character" w:styleId="FollowedHyperlink">
    <w:name w:val="FollowedHyperlink"/>
    <w:aliases w:val="CEO_FollowedHyperlink"/>
    <w:basedOn w:val="DefaultParagraphFont"/>
    <w:rsid w:val="002933A3"/>
    <w:rPr>
      <w:rFonts w:ascii="Verdana" w:hAnsi="Verdana"/>
      <w:noProof w:val="0"/>
      <w:color w:val="606420"/>
      <w:sz w:val="19"/>
      <w:u w:val="single"/>
      <w:lang w:val="en-GB"/>
    </w:rPr>
  </w:style>
  <w:style w:type="paragraph" w:customStyle="1" w:styleId="CEOConsidering">
    <w:name w:val="CEO_Considering"/>
    <w:basedOn w:val="Normal"/>
    <w:rsid w:val="002933A3"/>
    <w:pPr>
      <w:keepNext/>
      <w:keepLines/>
      <w:spacing w:after="120"/>
      <w:ind w:left="851"/>
      <w:jc w:val="left"/>
    </w:pPr>
    <w:rPr>
      <w:rFonts w:ascii="Verdana" w:eastAsia="SimHei" w:hAnsi="Verdana" w:cs="Simplified Arabic"/>
      <w:bCs/>
      <w:i/>
      <w:iCs/>
      <w:sz w:val="19"/>
      <w:szCs w:val="28"/>
      <w:lang w:val="en-US" w:eastAsia="zh-CN"/>
    </w:rPr>
  </w:style>
  <w:style w:type="paragraph" w:customStyle="1" w:styleId="CEOEndBar">
    <w:name w:val="CEO_EndBar"/>
    <w:basedOn w:val="Normal"/>
    <w:rsid w:val="002933A3"/>
    <w:pPr>
      <w:spacing w:after="120"/>
      <w:jc w:val="center"/>
    </w:pPr>
    <w:rPr>
      <w:rFonts w:ascii="Verdana" w:eastAsia="SimHei" w:hAnsi="Verdana" w:cs="Simplified Arabic"/>
      <w:bCs/>
      <w:sz w:val="19"/>
      <w:szCs w:val="28"/>
      <w:lang w:val="en-US" w:eastAsia="zh-CN"/>
    </w:rPr>
  </w:style>
  <w:style w:type="paragraph" w:customStyle="1" w:styleId="CEOExtract">
    <w:name w:val="CEO_Extract"/>
    <w:basedOn w:val="Normal"/>
    <w:rsid w:val="002933A3"/>
    <w:pPr>
      <w:keepNext/>
      <w:keepLines/>
      <w:spacing w:after="120"/>
      <w:jc w:val="left"/>
    </w:pPr>
    <w:rPr>
      <w:rFonts w:ascii="Verdana" w:eastAsia="SimHei" w:hAnsi="Verdana" w:cs="Simplified Arabic"/>
      <w:bCs/>
      <w:sz w:val="19"/>
      <w:szCs w:val="28"/>
      <w:lang w:val="en-US" w:eastAsia="zh-CN"/>
    </w:rPr>
  </w:style>
  <w:style w:type="paragraph" w:customStyle="1" w:styleId="CEOHeader">
    <w:name w:val="CEO_Header"/>
    <w:basedOn w:val="Normal"/>
    <w:rsid w:val="002933A3"/>
    <w:pPr>
      <w:tabs>
        <w:tab w:val="center" w:pos="5103"/>
        <w:tab w:val="right" w:pos="10206"/>
      </w:tabs>
      <w:spacing w:after="480"/>
      <w:ind w:right="357"/>
      <w:jc w:val="left"/>
    </w:pPr>
    <w:rPr>
      <w:rFonts w:ascii="Verdana" w:eastAsia="SimHei" w:hAnsi="Verdana" w:cs="Simplified Arabic"/>
      <w:bCs/>
      <w:smallCaps/>
      <w:spacing w:val="24"/>
      <w:sz w:val="18"/>
      <w:szCs w:val="18"/>
      <w:lang w:val="en-US" w:eastAsia="zh-CN"/>
    </w:rPr>
  </w:style>
  <w:style w:type="paragraph" w:customStyle="1" w:styleId="CEOResText">
    <w:name w:val="CEO_ResText"/>
    <w:basedOn w:val="Normal"/>
    <w:rsid w:val="002933A3"/>
    <w:pPr>
      <w:spacing w:after="120"/>
      <w:ind w:left="426"/>
      <w:jc w:val="left"/>
    </w:pPr>
    <w:rPr>
      <w:rFonts w:ascii="Verdana" w:eastAsia="SimHei" w:hAnsi="Verdana" w:cs="Simplified Arabic"/>
      <w:bCs/>
      <w:sz w:val="19"/>
      <w:szCs w:val="28"/>
      <w:lang w:val="en-US" w:eastAsia="zh-CN"/>
    </w:rPr>
  </w:style>
  <w:style w:type="paragraph" w:customStyle="1" w:styleId="CEOLogo">
    <w:name w:val="CEO_Logo"/>
    <w:basedOn w:val="Normal"/>
    <w:rsid w:val="002933A3"/>
    <w:pPr>
      <w:spacing w:before="0" w:after="120"/>
      <w:jc w:val="right"/>
    </w:pPr>
    <w:rPr>
      <w:rFonts w:ascii="Verdana" w:eastAsia="SimHei" w:hAnsi="Verdana" w:cs="Simplified Arabic"/>
      <w:bCs/>
      <w:sz w:val="19"/>
      <w:szCs w:val="28"/>
      <w:lang w:val="en-US" w:eastAsia="zh-CN"/>
    </w:rPr>
  </w:style>
  <w:style w:type="paragraph" w:customStyle="1" w:styleId="CEOMeetingSTG">
    <w:name w:val="CEO_MeetingSTG"/>
    <w:basedOn w:val="CEOMeetingName"/>
    <w:rsid w:val="002933A3"/>
    <w:pPr>
      <w:spacing w:before="120" w:after="120"/>
    </w:pPr>
  </w:style>
  <w:style w:type="paragraph" w:customStyle="1" w:styleId="CEORevision">
    <w:name w:val="CEO_Revision"/>
    <w:basedOn w:val="Normal"/>
    <w:autoRedefine/>
    <w:rsid w:val="002933A3"/>
    <w:pPr>
      <w:tabs>
        <w:tab w:val="left" w:pos="1928"/>
      </w:tabs>
      <w:spacing w:after="120" w:line="276" w:lineRule="auto"/>
      <w:ind w:left="2835" w:hanging="2835"/>
      <w:jc w:val="left"/>
    </w:pPr>
    <w:rPr>
      <w:rFonts w:ascii="Verdana" w:eastAsia="SimHei" w:hAnsi="Verdana" w:cs="Simplified Arabic"/>
      <w:b/>
      <w:bCs/>
      <w:sz w:val="18"/>
      <w:szCs w:val="18"/>
      <w:lang w:val="en-US" w:eastAsia="zh-CN"/>
    </w:rPr>
  </w:style>
  <w:style w:type="paragraph" w:customStyle="1" w:styleId="CEORevisionNote">
    <w:name w:val="CEO_RevisionNote"/>
    <w:basedOn w:val="CEORevision"/>
    <w:autoRedefine/>
    <w:rsid w:val="002933A3"/>
    <w:rPr>
      <w:b w:val="0"/>
      <w:i/>
      <w:iCs/>
    </w:rPr>
  </w:style>
  <w:style w:type="paragraph" w:customStyle="1" w:styleId="CEOActionRequired">
    <w:name w:val="CEO_ActionRequired"/>
    <w:basedOn w:val="Normal"/>
    <w:rsid w:val="002933A3"/>
    <w:pPr>
      <w:tabs>
        <w:tab w:val="left" w:pos="1928"/>
      </w:tabs>
      <w:spacing w:after="120"/>
      <w:jc w:val="left"/>
    </w:pPr>
    <w:rPr>
      <w:rFonts w:ascii="Verdana" w:eastAsia="SimHei" w:hAnsi="Verdana" w:cs="Simplified Arabic"/>
      <w:b/>
      <w:bCs/>
      <w:sz w:val="19"/>
      <w:szCs w:val="28"/>
      <w:lang w:val="en-US" w:eastAsia="zh-CN"/>
    </w:rPr>
  </w:style>
  <w:style w:type="paragraph" w:customStyle="1" w:styleId="CEOSummaryStartHere">
    <w:name w:val="CEO_Summary_StartHere"/>
    <w:rsid w:val="002933A3"/>
    <w:pPr>
      <w:spacing w:before="120" w:after="120"/>
      <w:jc w:val="center"/>
    </w:pPr>
    <w:rPr>
      <w:rFonts w:ascii="Verdana" w:eastAsia="SimHei" w:hAnsi="Verdana" w:cs="Simplified Arabic"/>
      <w:bCs/>
      <w:sz w:val="16"/>
      <w:szCs w:val="16"/>
      <w:lang w:val="fr-FR"/>
    </w:rPr>
  </w:style>
  <w:style w:type="paragraph" w:customStyle="1" w:styleId="CEOAbstract">
    <w:name w:val="CEO_Abstract"/>
    <w:rsid w:val="002933A3"/>
    <w:pPr>
      <w:tabs>
        <w:tab w:val="left" w:pos="2127"/>
      </w:tabs>
      <w:spacing w:before="360" w:after="120"/>
    </w:pPr>
    <w:rPr>
      <w:rFonts w:ascii="Verdana" w:eastAsia="SimHei" w:hAnsi="Verdana" w:cs="Simplified Arabic"/>
      <w:b/>
      <w:sz w:val="19"/>
      <w:szCs w:val="22"/>
      <w:lang w:val="fr-CA"/>
    </w:rPr>
  </w:style>
  <w:style w:type="paragraph" w:customStyle="1" w:styleId="CEOActionRequiredDetails">
    <w:name w:val="CEO_ActionRequiredDetails"/>
    <w:rsid w:val="002933A3"/>
    <w:pPr>
      <w:spacing w:before="120"/>
    </w:pPr>
    <w:rPr>
      <w:rFonts w:ascii="Verdana" w:hAnsi="Verdana"/>
      <w:bCs/>
      <w:sz w:val="19"/>
      <w:szCs w:val="19"/>
      <w:lang w:val="en-GB" w:eastAsia="en-US"/>
    </w:rPr>
  </w:style>
  <w:style w:type="paragraph" w:customStyle="1" w:styleId="Liste1">
    <w:name w:val="Liste 1"/>
    <w:basedOn w:val="Normal"/>
    <w:rsid w:val="002933A3"/>
    <w:pPr>
      <w:numPr>
        <w:numId w:val="12"/>
      </w:numPr>
    </w:pPr>
    <w:rPr>
      <w:rFonts w:ascii="Arial" w:eastAsia="Times New Roman" w:hAnsi="Arial"/>
      <w:sz w:val="20"/>
      <w:szCs w:val="20"/>
    </w:rPr>
  </w:style>
  <w:style w:type="paragraph" w:styleId="NormalWeb">
    <w:name w:val="Normal (Web)"/>
    <w:basedOn w:val="Normal"/>
    <w:uiPriority w:val="99"/>
    <w:unhideWhenUsed/>
    <w:rsid w:val="002933A3"/>
    <w:pPr>
      <w:spacing w:before="100" w:beforeAutospacing="1" w:after="100" w:afterAutospacing="1"/>
      <w:jc w:val="left"/>
    </w:pPr>
    <w:rPr>
      <w:rFonts w:ascii="Times New Roman" w:eastAsiaTheme="minorEastAsia" w:hAnsi="Times New Roman"/>
      <w:sz w:val="24"/>
      <w:szCs w:val="24"/>
      <w:lang w:val="es-ES" w:eastAsia="es-ES"/>
    </w:rPr>
  </w:style>
  <w:style w:type="paragraph" w:customStyle="1" w:styleId="CEONormal">
    <w:name w:val="CEO_Normal"/>
    <w:autoRedefine/>
    <w:rsid w:val="002933A3"/>
    <w:pPr>
      <w:keepNext/>
      <w:keepLines/>
      <w:spacing w:before="120" w:after="120"/>
    </w:pPr>
    <w:rPr>
      <w:rFonts w:ascii="Verdana" w:hAnsi="Verdana"/>
      <w:sz w:val="19"/>
      <w:szCs w:val="19"/>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caption" w:qFormat="1"/>
    <w:lsdException w:name="table of figures" w:uiPriority="99"/>
    <w:lsdException w:name="footnote reference" w:uiPriority="99"/>
    <w:lsdException w:name="annotation reference" w:uiPriority="99"/>
    <w:lsdException w:name="Title" w:uiPriority="10" w:qFormat="1"/>
    <w:lsdException w:name="Subtitle" w:qFormat="1"/>
    <w:lsdException w:name="Body Text Indent 3" w:uiPriority="99"/>
    <w:lsdException w:name="Block Text"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No List" w:uiPriority="99"/>
    <w:lsdException w:name="Table 3D effects 2"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2550A"/>
    <w:pPr>
      <w:spacing w:before="120"/>
      <w:jc w:val="both"/>
    </w:pPr>
    <w:rPr>
      <w:rFonts w:ascii="Calibri" w:hAnsi="Calibri"/>
      <w:sz w:val="21"/>
      <w:szCs w:val="22"/>
      <w:lang w:val="fr-FR" w:eastAsia="fr-FR"/>
    </w:rPr>
  </w:style>
  <w:style w:type="paragraph" w:styleId="Heading1">
    <w:name w:val="heading 1"/>
    <w:basedOn w:val="Normal"/>
    <w:next w:val="Normal"/>
    <w:link w:val="Heading1Char"/>
    <w:qFormat/>
    <w:rsid w:val="00982DE4"/>
    <w:pPr>
      <w:keepNext/>
      <w:keepLines/>
      <w:tabs>
        <w:tab w:val="left" w:pos="851"/>
      </w:tabs>
      <w:spacing w:before="400"/>
      <w:ind w:left="851" w:hanging="851"/>
      <w:outlineLvl w:val="0"/>
    </w:pPr>
    <w:rPr>
      <w:rFonts w:eastAsia="Times New Roman" w:cs="Helvetica"/>
      <w:b/>
      <w:bCs/>
      <w:color w:val="005173"/>
      <w:sz w:val="28"/>
      <w:szCs w:val="28"/>
      <w:lang w:val="en-US"/>
    </w:rPr>
  </w:style>
  <w:style w:type="paragraph" w:styleId="Heading2">
    <w:name w:val="heading 2"/>
    <w:basedOn w:val="Normal"/>
    <w:next w:val="Normal"/>
    <w:link w:val="Heading2Char"/>
    <w:qFormat/>
    <w:rsid w:val="00115C81"/>
    <w:pPr>
      <w:keepNext/>
      <w:tabs>
        <w:tab w:val="left" w:pos="851"/>
      </w:tabs>
      <w:spacing w:before="400"/>
      <w:ind w:left="851" w:hanging="851"/>
      <w:outlineLvl w:val="1"/>
    </w:pPr>
    <w:rPr>
      <w:rFonts w:eastAsia="Times New Roman" w:cs="Helvetica"/>
      <w:b/>
      <w:bCs/>
      <w:color w:val="005173"/>
      <w:sz w:val="24"/>
      <w:szCs w:val="32"/>
      <w:lang w:val="en-US"/>
    </w:rPr>
  </w:style>
  <w:style w:type="paragraph" w:styleId="Heading3">
    <w:name w:val="heading 3"/>
    <w:basedOn w:val="Heading2"/>
    <w:next w:val="Normal"/>
    <w:link w:val="Heading3Char"/>
    <w:qFormat/>
    <w:rsid w:val="00F20AB2"/>
    <w:pPr>
      <w:spacing w:before="240"/>
      <w:outlineLvl w:val="2"/>
    </w:pPr>
    <w:rPr>
      <w:i/>
      <w:iCs/>
    </w:rPr>
  </w:style>
  <w:style w:type="paragraph" w:styleId="Heading4">
    <w:name w:val="heading 4"/>
    <w:basedOn w:val="Normal"/>
    <w:next w:val="Normal"/>
    <w:link w:val="Heading4Char"/>
    <w:qFormat/>
    <w:rsid w:val="00821C93"/>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qFormat/>
    <w:rsid w:val="00821C93"/>
    <w:pPr>
      <w:keepNext/>
      <w:keepLines/>
      <w:tabs>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qFormat/>
    <w:rsid w:val="00821C93"/>
    <w:pPr>
      <w:spacing w:before="240" w:after="60"/>
      <w:outlineLvl w:val="5"/>
    </w:pPr>
    <w:rPr>
      <w:b/>
      <w:bCs/>
      <w:color w:val="005173"/>
    </w:rPr>
  </w:style>
  <w:style w:type="paragraph" w:styleId="Heading7">
    <w:name w:val="heading 7"/>
    <w:basedOn w:val="Normal"/>
    <w:next w:val="Normal"/>
    <w:link w:val="Heading7Char"/>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821C93"/>
    <w:pPr>
      <w:pBdr>
        <w:bottom w:val="single" w:sz="12" w:space="1" w:color="005173"/>
      </w:pBdr>
      <w:jc w:val="center"/>
    </w:pPr>
    <w:rPr>
      <w:rFonts w:eastAsia="Times New Roman" w:cs="Calibri"/>
      <w:i/>
      <w:iCs/>
      <w:szCs w:val="21"/>
      <w:lang w:val="en-US"/>
    </w:rPr>
  </w:style>
  <w:style w:type="character" w:customStyle="1" w:styleId="HeaderChar">
    <w:name w:val="Header Char"/>
    <w:link w:val="Header"/>
    <w:uiPriority w:val="99"/>
    <w:rsid w:val="00821C93"/>
    <w:rPr>
      <w:rFonts w:ascii="Calibri" w:eastAsia="Times New Roman" w:hAnsi="Calibri" w:cs="Calibri"/>
      <w:i/>
      <w:iCs/>
      <w:sz w:val="21"/>
      <w:szCs w:val="21"/>
      <w:lang w:eastAsia="fr-FR"/>
    </w:rPr>
  </w:style>
  <w:style w:type="character" w:styleId="Hyperlink">
    <w:name w:val="Hyperlink"/>
    <w:aliases w:val="CEO_Hyperlink"/>
    <w:rsid w:val="00FF7C81"/>
    <w:rPr>
      <w:color w:val="0000FF"/>
      <w:u w:val="single"/>
    </w:rPr>
  </w:style>
  <w:style w:type="paragraph" w:styleId="TOC2">
    <w:name w:val="toc 2"/>
    <w:basedOn w:val="Normal"/>
    <w:next w:val="Normal"/>
    <w:autoRedefine/>
    <w:uiPriority w:val="39"/>
    <w:qFormat/>
    <w:rsid w:val="00441D1F"/>
    <w:pPr>
      <w:tabs>
        <w:tab w:val="left" w:pos="567"/>
        <w:tab w:val="left" w:pos="1134"/>
        <w:tab w:val="right" w:leader="dot" w:pos="8505"/>
        <w:tab w:val="right" w:pos="9071"/>
      </w:tabs>
      <w:spacing w:before="240"/>
      <w:ind w:left="567"/>
      <w:jc w:val="left"/>
    </w:pPr>
    <w:rPr>
      <w:rFonts w:cs="Helvetica"/>
      <w:bCs/>
      <w:noProof/>
      <w:szCs w:val="24"/>
      <w:u w:color="3366CC"/>
    </w:rPr>
  </w:style>
  <w:style w:type="paragraph" w:styleId="TOC1">
    <w:name w:val="toc 1"/>
    <w:basedOn w:val="Normal"/>
    <w:next w:val="Normal"/>
    <w:uiPriority w:val="39"/>
    <w:qFormat/>
    <w:rsid w:val="0017278E"/>
    <w:pPr>
      <w:keepNext/>
      <w:keepLines/>
      <w:tabs>
        <w:tab w:val="left" w:pos="567"/>
        <w:tab w:val="right" w:leader="dot" w:pos="8505"/>
        <w:tab w:val="right" w:pos="9071"/>
      </w:tabs>
      <w:spacing w:before="200"/>
      <w:jc w:val="left"/>
    </w:pPr>
    <w:rPr>
      <w:rFonts w:cs="Helvetica"/>
      <w:b/>
      <w:bCs/>
      <w:noProof/>
      <w:szCs w:val="28"/>
      <w:lang w:val="en-US"/>
    </w:rPr>
  </w:style>
  <w:style w:type="paragraph" w:customStyle="1" w:styleId="Enumlevel2">
    <w:name w:val="Enum level 2"/>
    <w:basedOn w:val="Enumlevel1"/>
    <w:link w:val="Enumlevel2Char"/>
    <w:qFormat/>
    <w:rsid w:val="00CE7F23"/>
    <w:pPr>
      <w:ind w:left="1134"/>
    </w:pPr>
    <w:rPr>
      <w:lang w:val="en-AU"/>
    </w:rPr>
  </w:style>
  <w:style w:type="paragraph" w:customStyle="1" w:styleId="Figuretitle">
    <w:name w:val="Figure title"/>
    <w:basedOn w:val="Normal"/>
    <w:link w:val="FiguretitleChar"/>
    <w:qFormat/>
    <w:rsid w:val="003B018F"/>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rFonts w:cs="Arial"/>
      <w:b/>
      <w:color w:val="000000"/>
      <w:lang w:val="en-US"/>
    </w:rPr>
  </w:style>
  <w:style w:type="paragraph" w:customStyle="1" w:styleId="PartTitle">
    <w:name w:val="Part Title"/>
    <w:basedOn w:val="Heading2"/>
    <w:next w:val="Normal"/>
    <w:link w:val="PartTitleChar"/>
    <w:rsid w:val="0010485E"/>
    <w:pPr>
      <w:tabs>
        <w:tab w:val="left" w:pos="1134"/>
      </w:tabs>
    </w:pPr>
    <w:rPr>
      <w:i/>
      <w:sz w:val="44"/>
      <w:szCs w:val="36"/>
      <w:u w:color="E36C0A"/>
      <w:lang w:val="en-AU"/>
    </w:rPr>
  </w:style>
  <w:style w:type="character" w:customStyle="1" w:styleId="Enumlevel2Char">
    <w:name w:val="Enum level 2 Char"/>
    <w:link w:val="Enumlevel2"/>
    <w:rsid w:val="00CE7F23"/>
    <w:rPr>
      <w:rFonts w:ascii="Calibri" w:eastAsia="SimSun" w:hAnsi="Calibri" w:cs="Calibri"/>
      <w:sz w:val="21"/>
      <w:szCs w:val="21"/>
      <w:lang w:val="en-AU" w:eastAsia="en-GB"/>
    </w:rPr>
  </w:style>
  <w:style w:type="paragraph" w:customStyle="1" w:styleId="Figure">
    <w:name w:val="Figure"/>
    <w:basedOn w:val="Figuretitle"/>
    <w:link w:val="FigureChar"/>
    <w:qFormat/>
    <w:rsid w:val="00821C93"/>
    <w:pPr>
      <w:spacing w:before="240" w:after="120"/>
      <w:jc w:val="center"/>
    </w:pPr>
    <w:rPr>
      <w:b w:val="0"/>
      <w:bCs/>
    </w:rPr>
  </w:style>
  <w:style w:type="character" w:customStyle="1" w:styleId="FiguretitleChar">
    <w:name w:val="Figure title Char"/>
    <w:link w:val="Figuretitle"/>
    <w:rsid w:val="003B018F"/>
    <w:rPr>
      <w:rFonts w:ascii="Calibri" w:hAnsi="Calibri" w:cs="Arial"/>
      <w:b/>
      <w:color w:val="000000"/>
      <w:sz w:val="21"/>
      <w:szCs w:val="22"/>
      <w:shd w:val="clear" w:color="auto" w:fill="E8F8FD"/>
      <w:lang w:eastAsia="fr-FR"/>
    </w:rPr>
  </w:style>
  <w:style w:type="paragraph" w:customStyle="1" w:styleId="figuresource">
    <w:name w:val="figure source"/>
    <w:basedOn w:val="Figuretitle"/>
    <w:link w:val="figuresourceChar"/>
    <w:qFormat/>
    <w:rsid w:val="00F44873"/>
    <w:pPr>
      <w:jc w:val="left"/>
    </w:pPr>
    <w:rPr>
      <w:b w:val="0"/>
      <w:bCs/>
      <w:i/>
      <w:iCs/>
      <w:sz w:val="19"/>
      <w:szCs w:val="19"/>
    </w:rPr>
  </w:style>
  <w:style w:type="character" w:customStyle="1" w:styleId="FigureChar">
    <w:name w:val="Figure Char"/>
    <w:link w:val="Figure"/>
    <w:rsid w:val="00821C93"/>
    <w:rPr>
      <w:rFonts w:ascii="Calibri" w:hAnsi="Calibri" w:cs="Arial"/>
      <w:bCs/>
      <w:color w:val="000000"/>
      <w:sz w:val="21"/>
      <w:szCs w:val="22"/>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F44873"/>
    <w:rPr>
      <w:rFonts w:ascii="Calibri" w:eastAsia="SimSun" w:hAnsi="Calibri" w:cs="Arial"/>
      <w:b w:val="0"/>
      <w:bCs/>
      <w:i/>
      <w:iCs/>
      <w:color w:val="000000"/>
      <w:sz w:val="19"/>
      <w:szCs w:val="19"/>
      <w:shd w:val="clear" w:color="auto" w:fill="E8F8FD"/>
      <w:lang w:val="en-AU" w:eastAsia="fr-FR"/>
    </w:rPr>
  </w:style>
  <w:style w:type="paragraph" w:styleId="TOC3">
    <w:name w:val="toc 3"/>
    <w:basedOn w:val="Normal"/>
    <w:next w:val="Normal"/>
    <w:autoRedefine/>
    <w:uiPriority w:val="39"/>
    <w:qFormat/>
    <w:rsid w:val="0017278E"/>
    <w:pPr>
      <w:tabs>
        <w:tab w:val="right" w:pos="1701"/>
        <w:tab w:val="right" w:pos="1985"/>
        <w:tab w:val="right" w:leader="dot" w:pos="8505"/>
        <w:tab w:val="right" w:pos="9071"/>
      </w:tabs>
      <w:spacing w:before="40"/>
      <w:ind w:left="1701" w:hanging="567"/>
    </w:pPr>
    <w:rPr>
      <w:rFonts w:cs="Arial"/>
      <w:noProof/>
      <w:color w:val="000000"/>
      <w:szCs w:val="24"/>
      <w:lang w:val="en-US"/>
    </w:rPr>
  </w:style>
  <w:style w:type="paragraph" w:styleId="Footer">
    <w:name w:val="footer"/>
    <w:basedOn w:val="Normal"/>
    <w:link w:val="FooterChar"/>
    <w:rsid w:val="00821C93"/>
    <w:pPr>
      <w:pBdr>
        <w:top w:val="single" w:sz="4" w:space="1" w:color="005173"/>
      </w:pBdr>
      <w:tabs>
        <w:tab w:val="right" w:pos="9071"/>
      </w:tabs>
      <w:ind w:left="6804"/>
      <w:jc w:val="right"/>
    </w:pPr>
  </w:style>
  <w:style w:type="character" w:customStyle="1" w:styleId="FooterChar">
    <w:name w:val="Footer Char"/>
    <w:link w:val="Footer"/>
    <w:rsid w:val="00821C93"/>
    <w:rPr>
      <w:rFonts w:ascii="Calibri" w:hAnsi="Calibri"/>
      <w:sz w:val="21"/>
      <w:szCs w:val="22"/>
      <w:lang w:val="fr-FR"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rsid w:val="00115C81"/>
    <w:rPr>
      <w:rFonts w:ascii="Calibri" w:eastAsia="Times New Roman" w:hAnsi="Calibri" w:cs="Helvetica"/>
      <w:b/>
      <w:bCs/>
      <w:color w:val="005173"/>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basedOn w:val="Normal"/>
    <w:link w:val="FootnoteTextChar"/>
    <w:uiPriority w:val="99"/>
    <w:rsid w:val="007202A5"/>
    <w:pPr>
      <w:tabs>
        <w:tab w:val="left" w:pos="284"/>
      </w:tabs>
    </w:pPr>
    <w:rPr>
      <w:sz w:val="18"/>
      <w:szCs w:val="18"/>
      <w:lang w:val="en-US"/>
    </w:rPr>
  </w:style>
  <w:style w:type="character" w:customStyle="1" w:styleId="FootnoteTextChar">
    <w:name w:val="Footnote Text Char"/>
    <w:link w:val="FootnoteText"/>
    <w:uiPriority w:val="99"/>
    <w:rsid w:val="007202A5"/>
    <w:rPr>
      <w:rFonts w:ascii="Calibri" w:hAnsi="Calibri"/>
      <w:sz w:val="18"/>
      <w:szCs w:val="18"/>
      <w:lang w:eastAsia="fr-FR"/>
    </w:rPr>
  </w:style>
  <w:style w:type="character" w:styleId="FootnoteReference">
    <w:name w:val="footnote reference"/>
    <w:uiPriority w:val="99"/>
    <w:rsid w:val="004866ED"/>
    <w:rPr>
      <w:rFonts w:ascii="Calibri" w:hAnsi="Calibri"/>
      <w:sz w:val="21"/>
      <w:vertAlign w:val="superscript"/>
      <w:lang w:val="fr-CH"/>
    </w:rPr>
  </w:style>
  <w:style w:type="table" w:styleId="TableGrid">
    <w:name w:val="Table Grid"/>
    <w:basedOn w:val="TableNormal"/>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621F9"/>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821C93"/>
    <w:pPr>
      <w:keepNext/>
      <w:keepLines/>
      <w:tabs>
        <w:tab w:val="left" w:pos="851"/>
      </w:tabs>
      <w:spacing w:before="0"/>
      <w:jc w:val="center"/>
      <w:outlineLvl w:val="0"/>
    </w:pPr>
    <w:rPr>
      <w:rFonts w:cs="Helvetica"/>
      <w:b/>
      <w:bCs/>
      <w:color w:val="005173"/>
      <w:sz w:val="40"/>
      <w:szCs w:val="28"/>
      <w:lang w:val="en-US"/>
    </w:rPr>
  </w:style>
  <w:style w:type="paragraph" w:customStyle="1" w:styleId="Toc0">
    <w:name w:val="Toc 0"/>
    <w:basedOn w:val="Normal"/>
    <w:link w:val="Toc0Char"/>
    <w:qFormat/>
    <w:rsid w:val="00821C93"/>
    <w:pPr>
      <w:tabs>
        <w:tab w:val="right" w:pos="9071"/>
      </w:tabs>
      <w:spacing w:before="200"/>
      <w:jc w:val="right"/>
    </w:pPr>
    <w:rPr>
      <w:rFonts w:cs="Helvetica"/>
      <w:bCs/>
      <w:i/>
      <w:iCs/>
      <w:noProof/>
      <w:color w:val="005173"/>
      <w:szCs w:val="28"/>
      <w:lang w:val="en-US"/>
    </w:rPr>
  </w:style>
  <w:style w:type="character" w:customStyle="1" w:styleId="Heading1Char">
    <w:name w:val="Heading 1 Char"/>
    <w:link w:val="Heading1"/>
    <w:rsid w:val="00982DE4"/>
    <w:rPr>
      <w:rFonts w:ascii="Calibri" w:eastAsia="Times New Roman" w:hAnsi="Calibri" w:cs="Helvetica"/>
      <w:b/>
      <w:bCs/>
      <w:color w:val="005173"/>
      <w:sz w:val="28"/>
      <w:szCs w:val="28"/>
      <w:lang w:eastAsia="fr-FR"/>
    </w:rPr>
  </w:style>
  <w:style w:type="character" w:customStyle="1" w:styleId="ChapttitleChar">
    <w:name w:val="Chapt title Char"/>
    <w:link w:val="Chapttitle"/>
    <w:rsid w:val="00821C93"/>
    <w:rPr>
      <w:rFonts w:ascii="Calibri" w:hAnsi="Calibri" w:cs="Helvetica"/>
      <w:b/>
      <w:bCs/>
      <w:color w:val="005173"/>
      <w:sz w:val="40"/>
      <w:szCs w:val="28"/>
      <w:lang w:eastAsia="fr-FR"/>
    </w:rPr>
  </w:style>
  <w:style w:type="character" w:customStyle="1" w:styleId="Toc0Char">
    <w:name w:val="Toc 0 Char"/>
    <w:link w:val="Toc0"/>
    <w:rsid w:val="00821C93"/>
    <w:rPr>
      <w:rFonts w:ascii="Calibri" w:hAnsi="Calibri" w:cs="Helvetica"/>
      <w:bCs/>
      <w:i/>
      <w:iCs/>
      <w:noProof/>
      <w:color w:val="005173"/>
      <w:sz w:val="21"/>
      <w:szCs w:val="28"/>
      <w:lang w:eastAsia="fr-FR"/>
    </w:rPr>
  </w:style>
  <w:style w:type="paragraph" w:customStyle="1" w:styleId="HeadingB">
    <w:name w:val="Heading B"/>
    <w:basedOn w:val="Normal"/>
    <w:link w:val="HeadingBChar"/>
    <w:qFormat/>
    <w:rsid w:val="0024564C"/>
    <w:pPr>
      <w:spacing w:before="240"/>
    </w:pPr>
    <w:rPr>
      <w:b/>
      <w:bCs/>
      <w:lang w:val="en-AU"/>
    </w:rPr>
  </w:style>
  <w:style w:type="paragraph" w:customStyle="1" w:styleId="Enumlevel1">
    <w:name w:val="Enum level 1"/>
    <w:basedOn w:val="Normal"/>
    <w:link w:val="Enumlevel1Char"/>
    <w:qFormat/>
    <w:rsid w:val="00ED3677"/>
    <w:pPr>
      <w:ind w:left="567" w:hanging="567"/>
    </w:pPr>
    <w:rPr>
      <w:rFonts w:cs="Calibri"/>
      <w:szCs w:val="21"/>
      <w:lang w:val="en-GB" w:eastAsia="en-GB"/>
    </w:rPr>
  </w:style>
  <w:style w:type="character" w:customStyle="1" w:styleId="HeadingBChar">
    <w:name w:val="Heading B Char"/>
    <w:link w:val="HeadingB"/>
    <w:rsid w:val="0024564C"/>
    <w:rPr>
      <w:rFonts w:ascii="Calibri" w:hAnsi="Calibri"/>
      <w:b/>
      <w:bCs/>
      <w:sz w:val="21"/>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lang w:val="en-US"/>
    </w:rPr>
  </w:style>
  <w:style w:type="character" w:customStyle="1" w:styleId="Enumlevel1Char">
    <w:name w:val="Enum level 1 Char"/>
    <w:link w:val="Enumlevel1"/>
    <w:rsid w:val="00ED3677"/>
    <w:rPr>
      <w:rFonts w:ascii="Calibri" w:eastAsia="SimSun" w:hAnsi="Calibri" w:cs="Calibri"/>
      <w:sz w:val="21"/>
      <w:szCs w:val="21"/>
      <w:lang w:val="en-GB" w:eastAsia="en-GB"/>
    </w:rPr>
  </w:style>
  <w:style w:type="paragraph" w:customStyle="1" w:styleId="Tablesource">
    <w:name w:val="Table source"/>
    <w:basedOn w:val="Tabletext"/>
    <w:link w:val="TablesourceChar"/>
    <w:qFormat/>
    <w:rsid w:val="00A96344"/>
    <w:rPr>
      <w:i/>
      <w:iCs/>
      <w:lang w:val="en-US"/>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character" w:customStyle="1" w:styleId="Heading3Char">
    <w:name w:val="Heading 3 Char"/>
    <w:link w:val="Heading3"/>
    <w:locked/>
    <w:rsid w:val="00BB5150"/>
    <w:rPr>
      <w:rFonts w:ascii="Calibri" w:eastAsia="Times New Roman" w:hAnsi="Calibri" w:cs="Helvetica"/>
      <w:b/>
      <w:bCs/>
      <w:i/>
      <w:iCs/>
      <w:color w:val="943634"/>
      <w:sz w:val="24"/>
      <w:szCs w:val="32"/>
      <w:lang w:eastAsia="fr-FR"/>
    </w:rPr>
  </w:style>
  <w:style w:type="character" w:customStyle="1" w:styleId="Heading4Char">
    <w:name w:val="Heading 4 Char"/>
    <w:link w:val="Heading4"/>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locked/>
    <w:rsid w:val="00821C93"/>
    <w:rPr>
      <w:rFonts w:ascii="Calibri" w:hAnsi="Calibri"/>
      <w:b/>
      <w:bCs/>
      <w:color w:val="005173"/>
      <w:sz w:val="21"/>
      <w:szCs w:val="22"/>
      <w:lang w:val="fr-FR" w:eastAsia="fr-FR"/>
    </w:rPr>
  </w:style>
  <w:style w:type="character" w:customStyle="1" w:styleId="Heading7Char">
    <w:name w:val="Heading 7 Char"/>
    <w:link w:val="Heading7"/>
    <w:locked/>
    <w:rsid w:val="00271D36"/>
    <w:rPr>
      <w:rFonts w:ascii="Calibri" w:hAnsi="Calibri"/>
      <w:sz w:val="24"/>
      <w:szCs w:val="24"/>
      <w:lang w:val="fr-FR" w:eastAsia="fr-FR"/>
    </w:rPr>
  </w:style>
  <w:style w:type="character" w:customStyle="1" w:styleId="Heading8Char">
    <w:name w:val="Heading 8 Char"/>
    <w:link w:val="Heading8"/>
    <w:locked/>
    <w:rsid w:val="00271D36"/>
    <w:rPr>
      <w:rFonts w:ascii="Calibri" w:hAnsi="Calibri"/>
      <w:i/>
      <w:iCs/>
      <w:sz w:val="24"/>
      <w:szCs w:val="24"/>
      <w:lang w:val="fr-FR" w:eastAsia="fr-FR"/>
    </w:rPr>
  </w:style>
  <w:style w:type="character" w:customStyle="1" w:styleId="Heading9Char">
    <w:name w:val="Heading 9 Char"/>
    <w:link w:val="Heading9"/>
    <w:locked/>
    <w:rsid w:val="00271D36"/>
    <w:rPr>
      <w:rFonts w:ascii="Arial" w:hAnsi="Arial" w:cs="Arial"/>
      <w:sz w:val="21"/>
      <w:szCs w:val="22"/>
      <w:lang w:val="fr-FR" w:eastAsia="fr-FR"/>
    </w:rPr>
  </w:style>
  <w:style w:type="paragraph" w:styleId="Revision">
    <w:name w:val="Revision"/>
    <w:hidden/>
    <w:uiPriority w:val="99"/>
    <w:semiHidden/>
    <w:rsid w:val="00271D36"/>
    <w:rPr>
      <w:sz w:val="24"/>
      <w:szCs w:val="24"/>
      <w:lang w:val="en-GB" w:eastAsia="en-GB"/>
    </w:rPr>
  </w:style>
  <w:style w:type="paragraph" w:customStyle="1" w:styleId="Tablehead">
    <w:name w:val="Table head"/>
    <w:basedOn w:val="Normal"/>
    <w:link w:val="TableheadChar"/>
    <w:qFormat/>
    <w:rsid w:val="00E6584D"/>
    <w:pPr>
      <w:autoSpaceDE w:val="0"/>
      <w:autoSpaceDN w:val="0"/>
      <w:adjustRightInd w:val="0"/>
      <w:spacing w:before="80" w:after="80"/>
      <w:jc w:val="center"/>
    </w:pPr>
    <w:rPr>
      <w:rFonts w:cs="Arial Bold"/>
      <w:b/>
      <w:bCs/>
      <w:color w:val="FFFFFF"/>
      <w:sz w:val="19"/>
      <w:lang w:val="en-US"/>
    </w:rPr>
  </w:style>
  <w:style w:type="character" w:customStyle="1" w:styleId="TableheadChar">
    <w:name w:val="Table head Char"/>
    <w:link w:val="Tablehead"/>
    <w:rsid w:val="00E6584D"/>
    <w:rPr>
      <w:rFonts w:ascii="Calibri" w:hAnsi="Calibri" w:cs="Arial Bold"/>
      <w:b/>
      <w:bCs/>
      <w:color w:val="FFFFFF"/>
      <w:sz w:val="19"/>
      <w:szCs w:val="22"/>
      <w:lang w:eastAsia="fr-FR"/>
    </w:rPr>
  </w:style>
  <w:style w:type="paragraph" w:customStyle="1" w:styleId="Tabletext">
    <w:name w:val="Table text"/>
    <w:basedOn w:val="Normal"/>
    <w:link w:val="TabletextChar"/>
    <w:qFormat/>
    <w:rsid w:val="00E6584D"/>
    <w:pPr>
      <w:spacing w:before="40" w:after="40"/>
      <w:jc w:val="left"/>
    </w:pPr>
    <w:rPr>
      <w:rFonts w:cs="Calibri"/>
      <w:sz w:val="19"/>
      <w:szCs w:val="19"/>
    </w:rPr>
  </w:style>
  <w:style w:type="character" w:customStyle="1" w:styleId="TabletextChar">
    <w:name w:val="Table text Char"/>
    <w:link w:val="Tabletext"/>
    <w:rsid w:val="00E6584D"/>
    <w:rPr>
      <w:rFonts w:ascii="Calibri" w:hAnsi="Calibri" w:cs="Calibri"/>
      <w:sz w:val="19"/>
      <w:szCs w:val="19"/>
      <w:lang w:val="fr-FR" w:eastAsia="fr-FR"/>
    </w:rPr>
  </w:style>
  <w:style w:type="paragraph" w:customStyle="1" w:styleId="Tabletitle">
    <w:name w:val="Table title"/>
    <w:basedOn w:val="Normal"/>
    <w:link w:val="TabletitleChar"/>
    <w:uiPriority w:val="99"/>
    <w:qFormat/>
    <w:rsid w:val="00A96344"/>
    <w:pPr>
      <w:shd w:val="clear" w:color="auto" w:fill="FFFFFF"/>
      <w:autoSpaceDE w:val="0"/>
      <w:autoSpaceDN w:val="0"/>
      <w:adjustRightInd w:val="0"/>
      <w:spacing w:before="240" w:after="120"/>
      <w:jc w:val="center"/>
    </w:pPr>
    <w:rPr>
      <w:rFonts w:cs="Arial"/>
      <w:b/>
      <w:bCs/>
      <w:color w:val="005173"/>
      <w:szCs w:val="24"/>
      <w:lang w:val="en-US"/>
    </w:rPr>
  </w:style>
  <w:style w:type="character" w:customStyle="1" w:styleId="TabletitleChar">
    <w:name w:val="Table title Char"/>
    <w:link w:val="Tabletitle"/>
    <w:uiPriority w:val="99"/>
    <w:rsid w:val="00A96344"/>
    <w:rPr>
      <w:rFonts w:ascii="Calibri" w:hAnsi="Calibri" w:cs="Arial"/>
      <w:b/>
      <w:bCs/>
      <w:color w:val="005173"/>
      <w:sz w:val="21"/>
      <w:szCs w:val="24"/>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B9372E"/>
    <w:pPr>
      <w:ind w:left="1701" w:hanging="567"/>
    </w:pPr>
    <w:rPr>
      <w:iCs/>
    </w:rPr>
  </w:style>
  <w:style w:type="character" w:customStyle="1" w:styleId="Enumlevel3Char">
    <w:name w:val="Enum level 3 Char"/>
    <w:link w:val="Enumlevel3"/>
    <w:rsid w:val="00B9372E"/>
    <w:rPr>
      <w:rFonts w:ascii="Calibri" w:hAnsi="Calibri"/>
      <w:iCs/>
      <w:sz w:val="21"/>
      <w:szCs w:val="22"/>
      <w:lang w:val="fr-FR"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
    <w:name w:val="Medium Shading 1 - Accent 11"/>
    <w:basedOn w:val="TableNormal"/>
    <w:uiPriority w:val="63"/>
    <w:rsid w:val="0026112D"/>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Pr/>
      <w:tcPr>
        <w:shd w:val="clear" w:color="auto" w:fill="005173"/>
      </w:tc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TablesourceChar">
    <w:name w:val="Table source Char"/>
    <w:link w:val="Tablesource"/>
    <w:rsid w:val="00A96344"/>
    <w:rPr>
      <w:rFonts w:ascii="Calibri" w:hAnsi="Calibri" w:cs="Calibri"/>
      <w:i/>
      <w:iCs/>
      <w:sz w:val="19"/>
      <w:szCs w:val="19"/>
      <w:lang w:eastAsia="fr-FR"/>
    </w:rPr>
  </w:style>
  <w:style w:type="paragraph" w:customStyle="1" w:styleId="Normalaftertitle">
    <w:name w:val="Normal_after_title"/>
    <w:basedOn w:val="Normal"/>
    <w:next w:val="Normal"/>
    <w:rsid w:val="00247767"/>
    <w:pPr>
      <w:tabs>
        <w:tab w:val="left" w:pos="794"/>
        <w:tab w:val="left" w:pos="1191"/>
        <w:tab w:val="left" w:pos="1588"/>
        <w:tab w:val="left" w:pos="1985"/>
      </w:tabs>
      <w:overflowPunct w:val="0"/>
      <w:autoSpaceDE w:val="0"/>
      <w:autoSpaceDN w:val="0"/>
      <w:adjustRightInd w:val="0"/>
      <w:spacing w:before="360"/>
      <w:textAlignment w:val="baseline"/>
    </w:pPr>
    <w:rPr>
      <w:rFonts w:asciiTheme="minorHAnsi" w:eastAsia="Times New Roman" w:hAnsiTheme="minorHAnsi"/>
      <w:szCs w:val="20"/>
      <w:lang w:val="en-GB" w:eastAsia="en-US"/>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160"/>
      <w:ind w:left="794"/>
      <w:jc w:val="left"/>
      <w:textAlignment w:val="baseline"/>
    </w:pPr>
    <w:rPr>
      <w:rFonts w:eastAsia="Times New Roman" w:cs="Times New Roman italic"/>
      <w:i/>
      <w:szCs w:val="20"/>
      <w:lang w:val="en-GB" w:eastAsia="en-US"/>
    </w:rPr>
  </w:style>
  <w:style w:type="table" w:customStyle="1" w:styleId="Style1">
    <w:name w:val="Style1"/>
    <w:basedOn w:val="TableNormal"/>
    <w:uiPriority w:val="99"/>
    <w:rsid w:val="00031084"/>
    <w:tblPr>
      <w:tblInd w:w="0" w:type="dxa"/>
      <w:tblCellMar>
        <w:top w:w="0" w:type="dxa"/>
        <w:left w:w="108" w:type="dxa"/>
        <w:bottom w:w="0" w:type="dxa"/>
        <w:right w:w="108" w:type="dxa"/>
      </w:tblCellMar>
    </w:tblPr>
    <w:tcPr>
      <w:shd w:val="clear" w:color="auto" w:fill="005173"/>
    </w:tcPr>
  </w:style>
  <w:style w:type="paragraph" w:customStyle="1" w:styleId="QuestionNo">
    <w:name w:val="Question_No"/>
    <w:basedOn w:val="Normal"/>
    <w:qFormat/>
    <w:rsid w:val="00821C93"/>
    <w:pPr>
      <w:jc w:val="right"/>
    </w:pPr>
    <w:rPr>
      <w:rFonts w:cs="Times New Roman Bold"/>
      <w:b/>
      <w:bCs/>
      <w:color w:val="005173"/>
      <w:sz w:val="52"/>
    </w:rPr>
  </w:style>
  <w:style w:type="paragraph" w:customStyle="1" w:styleId="QuestionTitle">
    <w:name w:val="Question Title"/>
    <w:basedOn w:val="Normal"/>
    <w:qFormat/>
    <w:rsid w:val="00821C93"/>
    <w:pPr>
      <w:spacing w:before="240"/>
      <w:jc w:val="right"/>
    </w:pPr>
    <w:rPr>
      <w:rFonts w:cs="Times New Roman Bold"/>
      <w:b/>
      <w:i/>
      <w:color w:val="005173"/>
      <w:sz w:val="48"/>
    </w:rPr>
  </w:style>
  <w:style w:type="paragraph" w:styleId="Title">
    <w:name w:val="Title"/>
    <w:basedOn w:val="Normal"/>
    <w:next w:val="Normal"/>
    <w:link w:val="TitleChar"/>
    <w:uiPriority w:val="10"/>
    <w:qFormat/>
    <w:rsid w:val="007B1D25"/>
    <w:pPr>
      <w:spacing w:before="240" w:after="60" w:line="276" w:lineRule="auto"/>
      <w:jc w:val="center"/>
      <w:outlineLvl w:val="0"/>
    </w:pPr>
    <w:rPr>
      <w:rFonts w:ascii="Cambria" w:eastAsia="Times New Roman" w:hAnsi="Cambria"/>
      <w:b/>
      <w:bCs/>
      <w:kern w:val="28"/>
      <w:sz w:val="32"/>
      <w:szCs w:val="32"/>
      <w:lang w:val="en-US" w:eastAsia="en-US"/>
    </w:rPr>
  </w:style>
  <w:style w:type="character" w:customStyle="1" w:styleId="TitleChar">
    <w:name w:val="Title Char"/>
    <w:basedOn w:val="DefaultParagraphFont"/>
    <w:link w:val="Title"/>
    <w:uiPriority w:val="10"/>
    <w:rsid w:val="007B1D25"/>
    <w:rPr>
      <w:rFonts w:ascii="Cambria" w:eastAsia="Times New Roman" w:hAnsi="Cambria"/>
      <w:b/>
      <w:bCs/>
      <w:kern w:val="28"/>
      <w:sz w:val="32"/>
      <w:szCs w:val="32"/>
      <w:lang w:eastAsia="en-US"/>
    </w:rPr>
  </w:style>
  <w:style w:type="character" w:customStyle="1" w:styleId="google-src-text1">
    <w:name w:val="google-src-text1"/>
    <w:rsid w:val="007B1D25"/>
    <w:rPr>
      <w:vanish/>
      <w:webHidden w:val="0"/>
      <w:specVanish w:val="0"/>
    </w:rPr>
  </w:style>
  <w:style w:type="table" w:styleId="Table3Deffects2">
    <w:name w:val="Table 3D effects 2"/>
    <w:basedOn w:val="TableNormal"/>
    <w:uiPriority w:val="99"/>
    <w:unhideWhenUsed/>
    <w:rsid w:val="007B1D25"/>
    <w:pPr>
      <w:spacing w:after="200" w:line="276" w:lineRule="auto"/>
    </w:pPr>
    <w:rPr>
      <w:rFonts w:ascii="Calibri" w:eastAsia="Calibri" w:hAnsi="Calibri"/>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TOCHeading">
    <w:name w:val="TOC Heading"/>
    <w:basedOn w:val="Heading1"/>
    <w:next w:val="Normal"/>
    <w:uiPriority w:val="39"/>
    <w:semiHidden/>
    <w:unhideWhenUsed/>
    <w:qFormat/>
    <w:rsid w:val="007B1D25"/>
    <w:pPr>
      <w:tabs>
        <w:tab w:val="clear" w:pos="851"/>
      </w:tabs>
      <w:spacing w:before="480" w:line="276" w:lineRule="auto"/>
      <w:jc w:val="left"/>
      <w:outlineLvl w:val="9"/>
    </w:pPr>
    <w:rPr>
      <w:rFonts w:asciiTheme="majorHAnsi" w:eastAsiaTheme="majorEastAsia" w:hAnsiTheme="majorHAnsi" w:cstheme="majorBidi"/>
      <w:color w:val="365F91" w:themeColor="accent1" w:themeShade="BF"/>
      <w:lang w:eastAsia="ja-JP"/>
    </w:rPr>
  </w:style>
  <w:style w:type="paragraph" w:styleId="Caption">
    <w:name w:val="caption"/>
    <w:basedOn w:val="Normal"/>
    <w:next w:val="Normal"/>
    <w:unhideWhenUsed/>
    <w:qFormat/>
    <w:rsid w:val="007B1D25"/>
    <w:pPr>
      <w:spacing w:before="0" w:after="120" w:line="276" w:lineRule="auto"/>
      <w:contextualSpacing/>
    </w:pPr>
    <w:rPr>
      <w:b/>
      <w:bCs/>
      <w:sz w:val="20"/>
      <w:szCs w:val="20"/>
      <w:lang w:val="en-US" w:eastAsia="zh-CN"/>
    </w:rPr>
  </w:style>
  <w:style w:type="character" w:styleId="Strong">
    <w:name w:val="Strong"/>
    <w:uiPriority w:val="22"/>
    <w:qFormat/>
    <w:rsid w:val="007B1D25"/>
    <w:rPr>
      <w:b/>
      <w:bCs/>
    </w:rPr>
  </w:style>
  <w:style w:type="table" w:customStyle="1" w:styleId="MediumShading2-Accent11">
    <w:name w:val="Medium Shading 2 - Accent 11"/>
    <w:basedOn w:val="TableNormal"/>
    <w:uiPriority w:val="64"/>
    <w:rsid w:val="007B1D25"/>
    <w:rPr>
      <w:rFonts w:ascii="Calibri" w:eastAsia="Calibri" w:hAnsi="Calibr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numbering" w:customStyle="1" w:styleId="Annexes">
    <w:name w:val="Annexes"/>
    <w:uiPriority w:val="99"/>
    <w:rsid w:val="007B1D25"/>
    <w:pPr>
      <w:numPr>
        <w:numId w:val="4"/>
      </w:numPr>
    </w:pPr>
  </w:style>
  <w:style w:type="paragraph" w:customStyle="1" w:styleId="Appendixtitle">
    <w:name w:val="Appendix_title"/>
    <w:basedOn w:val="Normal"/>
    <w:next w:val="Normal"/>
    <w:link w:val="AppendixtitleChar"/>
    <w:rsid w:val="007A0460"/>
    <w:pPr>
      <w:keepNext/>
      <w:keepLines/>
      <w:tabs>
        <w:tab w:val="left" w:pos="1134"/>
        <w:tab w:val="left" w:pos="1871"/>
        <w:tab w:val="left" w:pos="2268"/>
      </w:tabs>
      <w:overflowPunct w:val="0"/>
      <w:autoSpaceDE w:val="0"/>
      <w:autoSpaceDN w:val="0"/>
      <w:adjustRightInd w:val="0"/>
      <w:spacing w:before="240" w:after="280"/>
      <w:jc w:val="center"/>
      <w:textAlignment w:val="baseline"/>
    </w:pPr>
    <w:rPr>
      <w:rFonts w:ascii="Times New Roman Bold" w:eastAsia="Times New Roman" w:hAnsi="Times New Roman Bold"/>
      <w:b/>
      <w:bCs/>
      <w:sz w:val="26"/>
      <w:szCs w:val="20"/>
      <w:lang w:val="en-US" w:eastAsia="en-US"/>
    </w:rPr>
  </w:style>
  <w:style w:type="character" w:customStyle="1" w:styleId="AppendixtitleChar">
    <w:name w:val="Appendix_title Char"/>
    <w:basedOn w:val="DefaultParagraphFont"/>
    <w:link w:val="Appendixtitle"/>
    <w:locked/>
    <w:rsid w:val="007A0460"/>
    <w:rPr>
      <w:rFonts w:ascii="Times New Roman Bold" w:eastAsia="Times New Roman" w:hAnsi="Times New Roman Bold"/>
      <w:b/>
      <w:bCs/>
      <w:sz w:val="26"/>
      <w:lang w:eastAsia="en-US"/>
    </w:rPr>
  </w:style>
  <w:style w:type="paragraph" w:styleId="ListParagraph">
    <w:name w:val="List Paragraph"/>
    <w:basedOn w:val="Normal"/>
    <w:uiPriority w:val="34"/>
    <w:qFormat/>
    <w:rsid w:val="00FF489F"/>
    <w:pPr>
      <w:spacing w:after="120"/>
      <w:ind w:left="720"/>
      <w:contextualSpacing/>
      <w:jc w:val="left"/>
    </w:pPr>
    <w:rPr>
      <w:rFonts w:ascii="Verdana" w:eastAsia="SimHei" w:hAnsi="Verdana" w:cs="Simplified Arabic"/>
      <w:bCs/>
      <w:sz w:val="19"/>
      <w:szCs w:val="28"/>
      <w:lang w:val="en-US" w:eastAsia="zh-CN"/>
    </w:rPr>
  </w:style>
  <w:style w:type="paragraph" w:customStyle="1" w:styleId="Numberedpara">
    <w:name w:val="Numbered para"/>
    <w:basedOn w:val="Normal"/>
    <w:link w:val="NumberedparaChar"/>
    <w:autoRedefine/>
    <w:rsid w:val="00FF489F"/>
    <w:pPr>
      <w:tabs>
        <w:tab w:val="left" w:pos="0"/>
        <w:tab w:val="left" w:pos="630"/>
      </w:tabs>
      <w:spacing w:before="240"/>
    </w:pPr>
    <w:rPr>
      <w:rFonts w:ascii="Arial" w:hAnsi="Arial" w:cs="Arial"/>
      <w:color w:val="000000"/>
      <w:sz w:val="24"/>
      <w:szCs w:val="24"/>
      <w:lang w:val="en-US" w:eastAsia="zh-CN"/>
    </w:rPr>
  </w:style>
  <w:style w:type="character" w:customStyle="1" w:styleId="NumberedparaChar">
    <w:name w:val="Numbered para Char"/>
    <w:basedOn w:val="DefaultParagraphFont"/>
    <w:link w:val="Numberedpara"/>
    <w:rsid w:val="00FF489F"/>
    <w:rPr>
      <w:rFonts w:ascii="Arial" w:hAnsi="Arial" w:cs="Arial"/>
      <w:color w:val="000000"/>
      <w:sz w:val="24"/>
      <w:szCs w:val="24"/>
    </w:rPr>
  </w:style>
  <w:style w:type="paragraph" w:styleId="TOC4">
    <w:name w:val="toc 4"/>
    <w:basedOn w:val="Normal"/>
    <w:next w:val="Normal"/>
    <w:autoRedefine/>
    <w:uiPriority w:val="39"/>
    <w:unhideWhenUsed/>
    <w:rsid w:val="0066095D"/>
    <w:pPr>
      <w:spacing w:before="0" w:after="100" w:line="276" w:lineRule="auto"/>
      <w:ind w:left="660"/>
      <w:jc w:val="left"/>
    </w:pPr>
    <w:rPr>
      <w:rFonts w:asciiTheme="minorHAnsi" w:eastAsiaTheme="minorEastAsia" w:hAnsiTheme="minorHAnsi" w:cstheme="minorBidi"/>
      <w:sz w:val="22"/>
      <w:lang w:val="ru-RU" w:eastAsia="zh-CN"/>
    </w:rPr>
  </w:style>
  <w:style w:type="paragraph" w:styleId="TOC5">
    <w:name w:val="toc 5"/>
    <w:basedOn w:val="Normal"/>
    <w:next w:val="Normal"/>
    <w:autoRedefine/>
    <w:uiPriority w:val="39"/>
    <w:unhideWhenUsed/>
    <w:rsid w:val="0066095D"/>
    <w:pPr>
      <w:spacing w:before="0" w:after="100" w:line="276" w:lineRule="auto"/>
      <w:ind w:left="880"/>
      <w:jc w:val="left"/>
    </w:pPr>
    <w:rPr>
      <w:rFonts w:asciiTheme="minorHAnsi" w:eastAsiaTheme="minorEastAsia" w:hAnsiTheme="minorHAnsi" w:cstheme="minorBidi"/>
      <w:sz w:val="22"/>
      <w:lang w:val="ru-RU" w:eastAsia="zh-CN"/>
    </w:rPr>
  </w:style>
  <w:style w:type="paragraph" w:styleId="TOC6">
    <w:name w:val="toc 6"/>
    <w:basedOn w:val="Normal"/>
    <w:next w:val="Normal"/>
    <w:autoRedefine/>
    <w:uiPriority w:val="39"/>
    <w:unhideWhenUsed/>
    <w:rsid w:val="0066095D"/>
    <w:pPr>
      <w:spacing w:before="0" w:after="100" w:line="276" w:lineRule="auto"/>
      <w:ind w:left="1100"/>
      <w:jc w:val="left"/>
    </w:pPr>
    <w:rPr>
      <w:rFonts w:asciiTheme="minorHAnsi" w:eastAsiaTheme="minorEastAsia" w:hAnsiTheme="minorHAnsi" w:cstheme="minorBidi"/>
      <w:sz w:val="22"/>
      <w:lang w:val="ru-RU" w:eastAsia="zh-CN"/>
    </w:rPr>
  </w:style>
  <w:style w:type="paragraph" w:styleId="TOC7">
    <w:name w:val="toc 7"/>
    <w:basedOn w:val="Normal"/>
    <w:next w:val="Normal"/>
    <w:autoRedefine/>
    <w:uiPriority w:val="39"/>
    <w:unhideWhenUsed/>
    <w:rsid w:val="0066095D"/>
    <w:pPr>
      <w:spacing w:before="0" w:after="100" w:line="276" w:lineRule="auto"/>
      <w:ind w:left="1320"/>
      <w:jc w:val="left"/>
    </w:pPr>
    <w:rPr>
      <w:rFonts w:asciiTheme="minorHAnsi" w:eastAsiaTheme="minorEastAsia" w:hAnsiTheme="minorHAnsi" w:cstheme="minorBidi"/>
      <w:sz w:val="22"/>
      <w:lang w:val="ru-RU" w:eastAsia="zh-CN"/>
    </w:rPr>
  </w:style>
  <w:style w:type="paragraph" w:styleId="TOC8">
    <w:name w:val="toc 8"/>
    <w:basedOn w:val="Normal"/>
    <w:next w:val="Normal"/>
    <w:autoRedefine/>
    <w:uiPriority w:val="39"/>
    <w:unhideWhenUsed/>
    <w:rsid w:val="0066095D"/>
    <w:pPr>
      <w:spacing w:before="0" w:after="100" w:line="276" w:lineRule="auto"/>
      <w:ind w:left="1540"/>
      <w:jc w:val="left"/>
    </w:pPr>
    <w:rPr>
      <w:rFonts w:asciiTheme="minorHAnsi" w:eastAsiaTheme="minorEastAsia" w:hAnsiTheme="minorHAnsi" w:cstheme="minorBidi"/>
      <w:sz w:val="22"/>
      <w:lang w:val="ru-RU" w:eastAsia="zh-CN"/>
    </w:rPr>
  </w:style>
  <w:style w:type="paragraph" w:styleId="TOC9">
    <w:name w:val="toc 9"/>
    <w:basedOn w:val="Normal"/>
    <w:next w:val="Normal"/>
    <w:autoRedefine/>
    <w:uiPriority w:val="39"/>
    <w:unhideWhenUsed/>
    <w:rsid w:val="0066095D"/>
    <w:pPr>
      <w:spacing w:before="0" w:after="100" w:line="276" w:lineRule="auto"/>
      <w:ind w:left="1760"/>
      <w:jc w:val="left"/>
    </w:pPr>
    <w:rPr>
      <w:rFonts w:asciiTheme="minorHAnsi" w:eastAsiaTheme="minorEastAsia" w:hAnsiTheme="minorHAnsi" w:cstheme="minorBidi"/>
      <w:sz w:val="22"/>
      <w:lang w:val="ru-RU" w:eastAsia="zh-CN"/>
    </w:rPr>
  </w:style>
  <w:style w:type="paragraph" w:customStyle="1" w:styleId="CEOcontributionStart">
    <w:name w:val="CEO_contributionStart"/>
    <w:basedOn w:val="Normal"/>
    <w:rsid w:val="00B92F57"/>
    <w:pPr>
      <w:spacing w:before="360" w:after="120"/>
      <w:jc w:val="left"/>
    </w:pPr>
    <w:rPr>
      <w:rFonts w:ascii="Verdana" w:eastAsia="SimHei" w:hAnsi="Verdana" w:cs="Simplified Arabic"/>
      <w:sz w:val="19"/>
      <w:szCs w:val="19"/>
      <w:lang w:val="en-GB" w:eastAsia="en-US"/>
    </w:rPr>
  </w:style>
  <w:style w:type="paragraph" w:styleId="TableofFigures">
    <w:name w:val="table of figures"/>
    <w:basedOn w:val="Normal"/>
    <w:next w:val="Normal"/>
    <w:uiPriority w:val="99"/>
    <w:rsid w:val="007B674D"/>
    <w:pPr>
      <w:jc w:val="left"/>
    </w:pPr>
    <w:rPr>
      <w:rFonts w:ascii="Verdana" w:eastAsia="SimHei" w:hAnsi="Verdana" w:cs="Simplified Arabic"/>
      <w:bCs/>
      <w:sz w:val="19"/>
      <w:szCs w:val="28"/>
      <w:lang w:val="en-US" w:eastAsia="zh-CN"/>
    </w:rPr>
  </w:style>
  <w:style w:type="paragraph" w:styleId="BalloonText">
    <w:name w:val="Balloon Text"/>
    <w:basedOn w:val="Normal"/>
    <w:link w:val="BalloonTextChar"/>
    <w:rsid w:val="00780534"/>
    <w:pPr>
      <w:spacing w:before="0"/>
    </w:pPr>
    <w:rPr>
      <w:rFonts w:ascii="Tahoma" w:hAnsi="Tahoma" w:cs="Tahoma"/>
      <w:sz w:val="16"/>
      <w:szCs w:val="16"/>
    </w:rPr>
  </w:style>
  <w:style w:type="character" w:customStyle="1" w:styleId="BalloonTextChar">
    <w:name w:val="Balloon Text Char"/>
    <w:basedOn w:val="DefaultParagraphFont"/>
    <w:link w:val="BalloonText"/>
    <w:rsid w:val="00780534"/>
    <w:rPr>
      <w:rFonts w:ascii="Tahoma" w:hAnsi="Tahoma" w:cs="Tahoma"/>
      <w:sz w:val="16"/>
      <w:szCs w:val="16"/>
      <w:lang w:val="fr-FR" w:eastAsia="fr-FR"/>
    </w:rPr>
  </w:style>
  <w:style w:type="paragraph" w:customStyle="1" w:styleId="CEOParagraph11">
    <w:name w:val="CEO_Paragraph 1.1"/>
    <w:basedOn w:val="Heading2"/>
    <w:rsid w:val="00551995"/>
    <w:pPr>
      <w:keepNext w:val="0"/>
      <w:numPr>
        <w:ilvl w:val="1"/>
      </w:numPr>
      <w:tabs>
        <w:tab w:val="clear" w:pos="851"/>
        <w:tab w:val="num" w:pos="576"/>
      </w:tabs>
      <w:spacing w:before="120" w:after="120"/>
      <w:ind w:left="576" w:hanging="576"/>
      <w:jc w:val="left"/>
    </w:pPr>
    <w:rPr>
      <w:rFonts w:ascii="Verdana" w:eastAsia="SimHei" w:hAnsi="Verdana" w:cs="Simplified Arabic"/>
      <w:b w:val="0"/>
      <w:bCs w:val="0"/>
      <w:color w:val="auto"/>
      <w:sz w:val="18"/>
      <w:szCs w:val="28"/>
      <w:lang w:val="en-GB" w:eastAsia="zh-CN"/>
    </w:rPr>
  </w:style>
  <w:style w:type="paragraph" w:customStyle="1" w:styleId="CEOHeader1">
    <w:name w:val="CEO_Header1"/>
    <w:basedOn w:val="Normal"/>
    <w:rsid w:val="00551995"/>
    <w:pPr>
      <w:numPr>
        <w:numId w:val="5"/>
      </w:numPr>
      <w:spacing w:before="0"/>
      <w:jc w:val="left"/>
    </w:pPr>
    <w:rPr>
      <w:rFonts w:ascii="Verdana" w:eastAsia="SimHei" w:hAnsi="Verdana" w:cs="Simplified Arabic"/>
      <w:bCs/>
      <w:sz w:val="19"/>
      <w:szCs w:val="19"/>
      <w:lang w:val="en-US" w:eastAsia="en-US"/>
    </w:rPr>
  </w:style>
  <w:style w:type="paragraph" w:customStyle="1" w:styleId="CEOFooterContact2-3">
    <w:name w:val="CEO_FooterContact2-3"/>
    <w:basedOn w:val="Normal"/>
    <w:rsid w:val="002933A3"/>
    <w:pPr>
      <w:spacing w:before="0" w:after="120"/>
      <w:ind w:left="3827" w:hanging="2268"/>
      <w:jc w:val="left"/>
    </w:pPr>
    <w:rPr>
      <w:rFonts w:ascii="Verdana" w:eastAsia="SimHei" w:hAnsi="Verdana" w:cs="Simplified Arabic"/>
      <w:bCs/>
      <w:sz w:val="16"/>
      <w:szCs w:val="16"/>
      <w:lang w:val="en-US" w:eastAsia="zh-CN"/>
    </w:rPr>
  </w:style>
  <w:style w:type="paragraph" w:customStyle="1" w:styleId="CEODocTitle2lines-Second">
    <w:name w:val="CEO_DocTitle2lines-Second"/>
    <w:basedOn w:val="CEODocTitle2lines-First"/>
    <w:rsid w:val="002933A3"/>
    <w:pPr>
      <w:spacing w:before="0" w:after="480"/>
    </w:pPr>
  </w:style>
  <w:style w:type="paragraph" w:customStyle="1" w:styleId="CEODocTitle2lines-First">
    <w:name w:val="CEO_DocTitle2lines-First"/>
    <w:basedOn w:val="CEODocTitle-1line"/>
    <w:next w:val="Normal"/>
    <w:rsid w:val="002933A3"/>
    <w:pPr>
      <w:spacing w:after="0"/>
    </w:pPr>
  </w:style>
  <w:style w:type="paragraph" w:customStyle="1" w:styleId="CEODocTitle-1line">
    <w:name w:val="CEO_DocTitle-1line"/>
    <w:basedOn w:val="Normal"/>
    <w:next w:val="Normal"/>
    <w:rsid w:val="002933A3"/>
    <w:pPr>
      <w:spacing w:before="480" w:after="480"/>
      <w:jc w:val="center"/>
    </w:pPr>
    <w:rPr>
      <w:rFonts w:ascii="Verdana" w:eastAsia="SimHei" w:hAnsi="Verdana" w:cs="Simplified Arabic"/>
      <w:b/>
      <w:bCs/>
      <w:sz w:val="28"/>
      <w:szCs w:val="28"/>
      <w:lang w:val="en-US" w:eastAsia="en-US"/>
    </w:rPr>
  </w:style>
  <w:style w:type="paragraph" w:customStyle="1" w:styleId="CEOcontributionH1">
    <w:name w:val="CEO_contributionH1"/>
    <w:basedOn w:val="CEOcontribution-H123"/>
    <w:rsid w:val="002933A3"/>
    <w:pPr>
      <w:keepNext/>
      <w:keepLines/>
      <w:numPr>
        <w:numId w:val="0"/>
      </w:numPr>
      <w:spacing w:before="480"/>
    </w:pPr>
  </w:style>
  <w:style w:type="paragraph" w:customStyle="1" w:styleId="CEOcontribution-H123">
    <w:name w:val="CEO_contribution-H123"/>
    <w:basedOn w:val="Normal"/>
    <w:rsid w:val="002933A3"/>
    <w:pPr>
      <w:numPr>
        <w:numId w:val="11"/>
      </w:numPr>
      <w:tabs>
        <w:tab w:val="clear" w:pos="720"/>
        <w:tab w:val="num" w:pos="567"/>
      </w:tabs>
      <w:spacing w:after="120"/>
      <w:ind w:left="567" w:hanging="567"/>
      <w:jc w:val="left"/>
    </w:pPr>
    <w:rPr>
      <w:rFonts w:ascii="Verdana" w:eastAsia="SimHei" w:hAnsi="Verdana" w:cs="Simplified Arabic"/>
      <w:b/>
      <w:sz w:val="19"/>
      <w:szCs w:val="19"/>
      <w:lang w:val="en-GB" w:eastAsia="en-US"/>
    </w:rPr>
  </w:style>
  <w:style w:type="paragraph" w:customStyle="1" w:styleId="CEOFooterContact1">
    <w:name w:val="CEO_FooterContact1"/>
    <w:basedOn w:val="Normal"/>
    <w:next w:val="CEOFooterContact2-3"/>
    <w:rsid w:val="002933A3"/>
    <w:pPr>
      <w:pBdr>
        <w:top w:val="single" w:sz="4" w:space="5" w:color="auto"/>
      </w:pBdr>
      <w:tabs>
        <w:tab w:val="left" w:pos="1560"/>
      </w:tabs>
      <w:spacing w:after="120"/>
      <w:ind w:left="3827" w:hanging="3827"/>
      <w:jc w:val="left"/>
    </w:pPr>
    <w:rPr>
      <w:rFonts w:ascii="Verdana" w:eastAsia="SimHei" w:hAnsi="Verdana" w:cs="Simplified Arabic"/>
      <w:bCs/>
      <w:sz w:val="16"/>
      <w:szCs w:val="16"/>
      <w:lang w:val="en-US" w:eastAsia="zh-CN"/>
    </w:rPr>
  </w:style>
  <w:style w:type="paragraph" w:customStyle="1" w:styleId="CEOForAction">
    <w:name w:val="CEO_ForAction"/>
    <w:basedOn w:val="Normal"/>
    <w:next w:val="CEOSourceTitle"/>
    <w:rsid w:val="002933A3"/>
    <w:pPr>
      <w:spacing w:after="120"/>
      <w:ind w:left="743"/>
      <w:jc w:val="left"/>
    </w:pPr>
    <w:rPr>
      <w:rFonts w:ascii="Verdana" w:eastAsia="SimHei" w:hAnsi="Verdana" w:cs="Simplified Arabic"/>
      <w:b/>
      <w:iCs/>
      <w:sz w:val="19"/>
      <w:szCs w:val="28"/>
      <w:lang w:val="en-US" w:eastAsia="zh-CN"/>
    </w:rPr>
  </w:style>
  <w:style w:type="paragraph" w:customStyle="1" w:styleId="CEOSourceTitle">
    <w:name w:val="CEO_Source_Title"/>
    <w:basedOn w:val="Normal"/>
    <w:rsid w:val="002933A3"/>
    <w:pPr>
      <w:spacing w:after="120"/>
      <w:jc w:val="left"/>
    </w:pPr>
    <w:rPr>
      <w:rFonts w:ascii="Verdana" w:eastAsia="SimHei" w:hAnsi="Verdana" w:cs="Simplified Arabic"/>
      <w:b/>
      <w:sz w:val="19"/>
      <w:szCs w:val="19"/>
      <w:lang w:val="en-GB" w:eastAsia="en-US"/>
    </w:rPr>
  </w:style>
  <w:style w:type="paragraph" w:customStyle="1" w:styleId="CEOIndent1-123">
    <w:name w:val="CEO_Indent1-123"/>
    <w:basedOn w:val="Normal"/>
    <w:rsid w:val="002933A3"/>
    <w:pPr>
      <w:numPr>
        <w:numId w:val="6"/>
      </w:numPr>
      <w:spacing w:before="60" w:after="60"/>
      <w:ind w:right="709"/>
      <w:jc w:val="left"/>
    </w:pPr>
    <w:rPr>
      <w:rFonts w:ascii="Verdana" w:eastAsia="SimHei" w:hAnsi="Verdana" w:cs="Simplified Arabic"/>
      <w:bCs/>
      <w:sz w:val="19"/>
      <w:szCs w:val="19"/>
      <w:lang w:val="en-US" w:eastAsia="en-US"/>
    </w:rPr>
  </w:style>
  <w:style w:type="paragraph" w:customStyle="1" w:styleId="CEOAgendaItemN">
    <w:name w:val="CEO_AgendaItemN°"/>
    <w:basedOn w:val="CEOIndent1-123"/>
    <w:rsid w:val="002933A3"/>
    <w:pPr>
      <w:numPr>
        <w:numId w:val="0"/>
      </w:numPr>
      <w:ind w:right="12"/>
      <w:jc w:val="right"/>
    </w:pPr>
  </w:style>
  <w:style w:type="paragraph" w:customStyle="1" w:styleId="CEODocDates">
    <w:name w:val="CEO_DocDates"/>
    <w:basedOn w:val="Normal"/>
    <w:next w:val="Normal"/>
    <w:rsid w:val="002933A3"/>
    <w:pPr>
      <w:spacing w:before="0"/>
      <w:jc w:val="left"/>
    </w:pPr>
    <w:rPr>
      <w:rFonts w:ascii="Verdana" w:eastAsia="SimHei" w:hAnsi="Verdana" w:cs="Simplified Arabic"/>
      <w:b/>
      <w:sz w:val="19"/>
      <w:szCs w:val="19"/>
      <w:lang w:val="en-GB" w:eastAsia="en-US"/>
    </w:rPr>
  </w:style>
  <w:style w:type="paragraph" w:customStyle="1" w:styleId="CEODocNo">
    <w:name w:val="CEO_DocNo"/>
    <w:basedOn w:val="Normal"/>
    <w:next w:val="Normal"/>
    <w:rsid w:val="002933A3"/>
    <w:pPr>
      <w:spacing w:before="0"/>
      <w:jc w:val="left"/>
    </w:pPr>
    <w:rPr>
      <w:rFonts w:ascii="Verdana" w:eastAsia="SimHei" w:hAnsi="Verdana" w:cs="Simplified Arabic"/>
      <w:b/>
      <w:sz w:val="19"/>
      <w:szCs w:val="19"/>
      <w:lang w:val="en-GB" w:eastAsia="en-US"/>
    </w:rPr>
  </w:style>
  <w:style w:type="paragraph" w:customStyle="1" w:styleId="CEODocNoDetails">
    <w:name w:val="CEO_DocNoDetails"/>
    <w:basedOn w:val="Normal"/>
    <w:rsid w:val="002933A3"/>
    <w:pPr>
      <w:spacing w:before="80" w:after="80"/>
      <w:jc w:val="center"/>
    </w:pPr>
    <w:rPr>
      <w:rFonts w:ascii="Verdana" w:eastAsia="SimHei" w:hAnsi="Verdana" w:cs="Simplified Arabic"/>
      <w:bCs/>
      <w:sz w:val="19"/>
      <w:szCs w:val="19"/>
      <w:lang w:val="en-GB" w:eastAsia="en-US"/>
    </w:rPr>
  </w:style>
  <w:style w:type="paragraph" w:customStyle="1" w:styleId="CEOFooter">
    <w:name w:val="CEO_Footer"/>
    <w:basedOn w:val="Normal"/>
    <w:rsid w:val="002933A3"/>
    <w:pPr>
      <w:tabs>
        <w:tab w:val="right" w:pos="9072"/>
      </w:tabs>
      <w:spacing w:before="0"/>
      <w:jc w:val="left"/>
    </w:pPr>
    <w:rPr>
      <w:rFonts w:ascii="Verdana" w:eastAsia="SimHei" w:hAnsi="Verdana" w:cs="Simplified Arabic"/>
      <w:bCs/>
      <w:sz w:val="16"/>
      <w:szCs w:val="19"/>
      <w:lang w:val="en-GB" w:eastAsia="en-US"/>
    </w:rPr>
  </w:style>
  <w:style w:type="paragraph" w:customStyle="1" w:styleId="CEOHeader2">
    <w:name w:val="CEO_Header2"/>
    <w:basedOn w:val="Normal"/>
    <w:rsid w:val="002933A3"/>
    <w:pPr>
      <w:spacing w:before="720"/>
      <w:jc w:val="left"/>
    </w:pPr>
    <w:rPr>
      <w:rFonts w:ascii="Verdana" w:eastAsia="SimHei" w:hAnsi="Verdana" w:cs="Simplified Arabic"/>
      <w:bCs/>
      <w:sz w:val="19"/>
      <w:szCs w:val="19"/>
      <w:lang w:val="en-US" w:eastAsia="en-US"/>
    </w:rPr>
  </w:style>
  <w:style w:type="paragraph" w:customStyle="1" w:styleId="CEOHeaderPageNumber">
    <w:name w:val="CEO_HeaderPageNumber"/>
    <w:basedOn w:val="Normal"/>
    <w:rsid w:val="002933A3"/>
    <w:pPr>
      <w:tabs>
        <w:tab w:val="center" w:pos="4536"/>
        <w:tab w:val="right" w:pos="9072"/>
      </w:tabs>
      <w:spacing w:before="0"/>
      <w:jc w:val="right"/>
    </w:pPr>
    <w:rPr>
      <w:rFonts w:ascii="Verdana" w:eastAsia="SimHei" w:hAnsi="Verdana" w:cs="Simplified Arabic"/>
      <w:bCs/>
      <w:smallCaps/>
      <w:sz w:val="19"/>
      <w:szCs w:val="19"/>
      <w:lang w:val="en-US" w:eastAsia="en-US"/>
    </w:rPr>
  </w:style>
  <w:style w:type="paragraph" w:customStyle="1" w:styleId="CEOParagraph111">
    <w:name w:val="CEO_Paragraph1.1.1"/>
    <w:basedOn w:val="Heading3"/>
    <w:rsid w:val="002933A3"/>
    <w:pPr>
      <w:keepNext w:val="0"/>
      <w:numPr>
        <w:ilvl w:val="2"/>
        <w:numId w:val="5"/>
      </w:numPr>
      <w:tabs>
        <w:tab w:val="clear" w:pos="851"/>
        <w:tab w:val="clear" w:pos="2160"/>
        <w:tab w:val="num" w:pos="720"/>
      </w:tabs>
      <w:spacing w:before="0"/>
      <w:ind w:left="720" w:hanging="720"/>
      <w:jc w:val="left"/>
    </w:pPr>
    <w:rPr>
      <w:rFonts w:ascii="Verdana" w:eastAsia="SimHei" w:hAnsi="Verdana" w:cs="Simplified Arabic"/>
      <w:b w:val="0"/>
      <w:bCs w:val="0"/>
      <w:i w:val="0"/>
      <w:iCs w:val="0"/>
      <w:color w:val="auto"/>
      <w:sz w:val="19"/>
      <w:szCs w:val="28"/>
      <w:lang w:val="en-GB" w:eastAsia="zh-CN"/>
    </w:rPr>
  </w:style>
  <w:style w:type="paragraph" w:customStyle="1" w:styleId="CEOindent-abc">
    <w:name w:val="CEO_indent-abc"/>
    <w:basedOn w:val="Normal"/>
    <w:rsid w:val="002933A3"/>
    <w:pPr>
      <w:numPr>
        <w:ilvl w:val="1"/>
        <w:numId w:val="7"/>
      </w:numPr>
      <w:spacing w:before="0"/>
      <w:jc w:val="left"/>
    </w:pPr>
    <w:rPr>
      <w:rFonts w:ascii="Verdana" w:eastAsia="SimHei" w:hAnsi="Verdana" w:cs="Traditional Arabic"/>
      <w:bCs/>
      <w:sz w:val="18"/>
      <w:szCs w:val="28"/>
      <w:lang w:val="en-GB" w:eastAsia="en-US"/>
    </w:rPr>
  </w:style>
  <w:style w:type="paragraph" w:customStyle="1" w:styleId="CEOIndent-bulletsblackdot">
    <w:name w:val="CEO_Indent-bulletsblackdot"/>
    <w:basedOn w:val="Normal"/>
    <w:rsid w:val="002933A3"/>
    <w:pPr>
      <w:numPr>
        <w:numId w:val="8"/>
      </w:numPr>
      <w:tabs>
        <w:tab w:val="clear" w:pos="426"/>
        <w:tab w:val="num" w:pos="284"/>
      </w:tabs>
      <w:spacing w:before="60" w:after="60"/>
      <w:ind w:left="284"/>
      <w:jc w:val="left"/>
    </w:pPr>
    <w:rPr>
      <w:rFonts w:ascii="Verdana" w:eastAsia="SimHei" w:hAnsi="Verdana" w:cs="Simplified Arabic"/>
      <w:bCs/>
      <w:sz w:val="19"/>
      <w:szCs w:val="19"/>
      <w:lang w:val="en-GB" w:eastAsia="en-US"/>
    </w:rPr>
  </w:style>
  <w:style w:type="paragraph" w:customStyle="1" w:styleId="CEOIndent-bulletsBlueSquare">
    <w:name w:val="CEO_Indent-bulletsBlueSquare"/>
    <w:basedOn w:val="CEOIndent-bulletsblackdot"/>
    <w:rsid w:val="002933A3"/>
    <w:pPr>
      <w:numPr>
        <w:numId w:val="9"/>
      </w:numPr>
    </w:pPr>
  </w:style>
  <w:style w:type="paragraph" w:customStyle="1" w:styleId="CEOMeetingDates">
    <w:name w:val="CEO_MeetingDates"/>
    <w:basedOn w:val="Normal"/>
    <w:rsid w:val="002933A3"/>
    <w:pPr>
      <w:spacing w:before="0" w:after="40"/>
      <w:jc w:val="left"/>
    </w:pPr>
    <w:rPr>
      <w:rFonts w:ascii="Verdana" w:eastAsia="SimHei" w:hAnsi="Verdana" w:cs="Simplified Arabic"/>
      <w:b/>
      <w:sz w:val="19"/>
      <w:szCs w:val="19"/>
      <w:lang w:val="en-GB" w:eastAsia="en-US"/>
    </w:rPr>
  </w:style>
  <w:style w:type="paragraph" w:customStyle="1" w:styleId="CEOMeetingName">
    <w:name w:val="CEO_MeetingName"/>
    <w:basedOn w:val="Normal"/>
    <w:rsid w:val="002933A3"/>
    <w:pPr>
      <w:spacing w:before="0"/>
      <w:jc w:val="left"/>
    </w:pPr>
    <w:rPr>
      <w:rFonts w:ascii="Verdana" w:eastAsia="SimHei" w:hAnsi="Verdana" w:cs="Simplified Arabic"/>
      <w:b/>
      <w:sz w:val="19"/>
      <w:szCs w:val="19"/>
      <w:lang w:val="en-GB" w:eastAsia="en-US"/>
    </w:rPr>
  </w:style>
  <w:style w:type="paragraph" w:customStyle="1" w:styleId="CEOOriginalLanguage">
    <w:name w:val="CEO_OriginalLanguage"/>
    <w:basedOn w:val="Normal"/>
    <w:next w:val="Normal"/>
    <w:rsid w:val="002933A3"/>
    <w:pPr>
      <w:spacing w:before="240" w:after="120"/>
      <w:jc w:val="left"/>
    </w:pPr>
    <w:rPr>
      <w:rFonts w:ascii="Verdana" w:eastAsia="SimHei" w:hAnsi="Verdana" w:cs="Simplified Arabic"/>
      <w:b/>
      <w:sz w:val="19"/>
      <w:szCs w:val="19"/>
      <w:lang w:val="en-GB" w:eastAsia="en-US"/>
    </w:rPr>
  </w:style>
  <w:style w:type="paragraph" w:customStyle="1" w:styleId="CEOQuestion">
    <w:name w:val="CEO_Question"/>
    <w:basedOn w:val="CEOOriginalLanguage"/>
    <w:rsid w:val="002933A3"/>
    <w:pPr>
      <w:tabs>
        <w:tab w:val="left" w:pos="2098"/>
      </w:tabs>
      <w:ind w:left="2098" w:hanging="2098"/>
    </w:pPr>
    <w:rPr>
      <w:lang w:val="fr-CH"/>
    </w:rPr>
  </w:style>
  <w:style w:type="paragraph" w:customStyle="1" w:styleId="CEOQuestionDetails">
    <w:name w:val="CEO_QuestionDetails"/>
    <w:basedOn w:val="CEOOriginalLanguage"/>
    <w:rsid w:val="002933A3"/>
    <w:rPr>
      <w:b w:val="0"/>
      <w:bCs/>
    </w:rPr>
  </w:style>
  <w:style w:type="paragraph" w:customStyle="1" w:styleId="CEOSectorName">
    <w:name w:val="CEO_SectorName"/>
    <w:basedOn w:val="Normal"/>
    <w:rsid w:val="002933A3"/>
    <w:pPr>
      <w:spacing w:after="120"/>
      <w:jc w:val="left"/>
    </w:pPr>
    <w:rPr>
      <w:rFonts w:ascii="Verdana" w:eastAsia="SimHei" w:hAnsi="Verdana" w:cs="Simplified Arabic"/>
      <w:b/>
      <w:sz w:val="26"/>
      <w:szCs w:val="28"/>
      <w:lang w:val="en-GB" w:eastAsia="en-US"/>
    </w:rPr>
  </w:style>
  <w:style w:type="paragraph" w:customStyle="1" w:styleId="CEOSignatureName">
    <w:name w:val="CEO_SignatureName"/>
    <w:basedOn w:val="Normal"/>
    <w:rsid w:val="002933A3"/>
    <w:pPr>
      <w:spacing w:before="720"/>
      <w:jc w:val="left"/>
    </w:pPr>
    <w:rPr>
      <w:rFonts w:ascii="Verdana" w:eastAsia="SimHei" w:hAnsi="Verdana" w:cs="Simplified Arabic"/>
      <w:bCs/>
      <w:sz w:val="19"/>
      <w:szCs w:val="19"/>
      <w:lang w:val="en-GB" w:eastAsia="en-US"/>
    </w:rPr>
  </w:style>
  <w:style w:type="paragraph" w:customStyle="1" w:styleId="CEOSignatureTitle">
    <w:name w:val="CEO_SignatureTitle"/>
    <w:basedOn w:val="CEOSignatureName"/>
    <w:rsid w:val="002933A3"/>
    <w:pPr>
      <w:spacing w:before="0"/>
    </w:pPr>
  </w:style>
  <w:style w:type="paragraph" w:customStyle="1" w:styleId="CEOSourceTitleDetails">
    <w:name w:val="CEO_SourceTitleDetails"/>
    <w:basedOn w:val="Normal"/>
    <w:rsid w:val="002933A3"/>
    <w:pPr>
      <w:spacing w:after="120"/>
      <w:jc w:val="left"/>
    </w:pPr>
    <w:rPr>
      <w:rFonts w:ascii="Verdana" w:eastAsia="SimHei" w:hAnsi="Verdana" w:cs="Simplified Arabic"/>
      <w:bCs/>
      <w:sz w:val="19"/>
      <w:szCs w:val="19"/>
      <w:lang w:val="en-GB" w:eastAsia="en-US"/>
    </w:rPr>
  </w:style>
  <w:style w:type="paragraph" w:customStyle="1" w:styleId="CEOSTG">
    <w:name w:val="CEO_STG"/>
    <w:basedOn w:val="CEOOriginalLanguage"/>
    <w:rsid w:val="002933A3"/>
    <w:pPr>
      <w:spacing w:before="120"/>
      <w:jc w:val="center"/>
    </w:pPr>
  </w:style>
  <w:style w:type="paragraph" w:customStyle="1" w:styleId="CEOindent-endash">
    <w:name w:val="CEO_indent-endash"/>
    <w:basedOn w:val="CEOEmdashList"/>
    <w:rsid w:val="002933A3"/>
    <w:pPr>
      <w:numPr>
        <w:numId w:val="10"/>
      </w:numPr>
    </w:pPr>
  </w:style>
  <w:style w:type="paragraph" w:customStyle="1" w:styleId="CEOEmdashList">
    <w:name w:val="CEO_EmdashList"/>
    <w:basedOn w:val="Normal"/>
    <w:rsid w:val="002933A3"/>
    <w:pPr>
      <w:spacing w:after="120"/>
      <w:jc w:val="left"/>
    </w:pPr>
    <w:rPr>
      <w:rFonts w:ascii="Verdana" w:eastAsia="SimHei" w:hAnsi="Verdana" w:cs="Simplified Arabic"/>
      <w:bCs/>
      <w:sz w:val="19"/>
      <w:szCs w:val="28"/>
      <w:lang w:val="en-US" w:eastAsia="zh-CN"/>
    </w:rPr>
  </w:style>
  <w:style w:type="character" w:styleId="FollowedHyperlink">
    <w:name w:val="FollowedHyperlink"/>
    <w:aliases w:val="CEO_FollowedHyperlink"/>
    <w:basedOn w:val="DefaultParagraphFont"/>
    <w:rsid w:val="002933A3"/>
    <w:rPr>
      <w:rFonts w:ascii="Verdana" w:hAnsi="Verdana"/>
      <w:noProof w:val="0"/>
      <w:color w:val="606420"/>
      <w:sz w:val="19"/>
      <w:u w:val="single"/>
      <w:lang w:val="en-GB"/>
    </w:rPr>
  </w:style>
  <w:style w:type="paragraph" w:customStyle="1" w:styleId="CEOConsidering">
    <w:name w:val="CEO_Considering"/>
    <w:basedOn w:val="Normal"/>
    <w:rsid w:val="002933A3"/>
    <w:pPr>
      <w:keepNext/>
      <w:keepLines/>
      <w:spacing w:after="120"/>
      <w:ind w:left="851"/>
      <w:jc w:val="left"/>
    </w:pPr>
    <w:rPr>
      <w:rFonts w:ascii="Verdana" w:eastAsia="SimHei" w:hAnsi="Verdana" w:cs="Simplified Arabic"/>
      <w:bCs/>
      <w:i/>
      <w:iCs/>
      <w:sz w:val="19"/>
      <w:szCs w:val="28"/>
      <w:lang w:val="en-US" w:eastAsia="zh-CN"/>
    </w:rPr>
  </w:style>
  <w:style w:type="paragraph" w:customStyle="1" w:styleId="CEOEndBar">
    <w:name w:val="CEO_EndBar"/>
    <w:basedOn w:val="Normal"/>
    <w:rsid w:val="002933A3"/>
    <w:pPr>
      <w:spacing w:after="120"/>
      <w:jc w:val="center"/>
    </w:pPr>
    <w:rPr>
      <w:rFonts w:ascii="Verdana" w:eastAsia="SimHei" w:hAnsi="Verdana" w:cs="Simplified Arabic"/>
      <w:bCs/>
      <w:sz w:val="19"/>
      <w:szCs w:val="28"/>
      <w:lang w:val="en-US" w:eastAsia="zh-CN"/>
    </w:rPr>
  </w:style>
  <w:style w:type="paragraph" w:customStyle="1" w:styleId="CEOExtract">
    <w:name w:val="CEO_Extract"/>
    <w:basedOn w:val="Normal"/>
    <w:rsid w:val="002933A3"/>
    <w:pPr>
      <w:keepNext/>
      <w:keepLines/>
      <w:spacing w:after="120"/>
      <w:jc w:val="left"/>
    </w:pPr>
    <w:rPr>
      <w:rFonts w:ascii="Verdana" w:eastAsia="SimHei" w:hAnsi="Verdana" w:cs="Simplified Arabic"/>
      <w:bCs/>
      <w:sz w:val="19"/>
      <w:szCs w:val="28"/>
      <w:lang w:val="en-US" w:eastAsia="zh-CN"/>
    </w:rPr>
  </w:style>
  <w:style w:type="paragraph" w:customStyle="1" w:styleId="CEOHeader">
    <w:name w:val="CEO_Header"/>
    <w:basedOn w:val="Normal"/>
    <w:rsid w:val="002933A3"/>
    <w:pPr>
      <w:tabs>
        <w:tab w:val="center" w:pos="5103"/>
        <w:tab w:val="right" w:pos="10206"/>
      </w:tabs>
      <w:spacing w:after="480"/>
      <w:ind w:right="357"/>
      <w:jc w:val="left"/>
    </w:pPr>
    <w:rPr>
      <w:rFonts w:ascii="Verdana" w:eastAsia="SimHei" w:hAnsi="Verdana" w:cs="Simplified Arabic"/>
      <w:bCs/>
      <w:smallCaps/>
      <w:spacing w:val="24"/>
      <w:sz w:val="18"/>
      <w:szCs w:val="18"/>
      <w:lang w:val="en-US" w:eastAsia="zh-CN"/>
    </w:rPr>
  </w:style>
  <w:style w:type="paragraph" w:customStyle="1" w:styleId="CEOResText">
    <w:name w:val="CEO_ResText"/>
    <w:basedOn w:val="Normal"/>
    <w:rsid w:val="002933A3"/>
    <w:pPr>
      <w:spacing w:after="120"/>
      <w:ind w:left="426"/>
      <w:jc w:val="left"/>
    </w:pPr>
    <w:rPr>
      <w:rFonts w:ascii="Verdana" w:eastAsia="SimHei" w:hAnsi="Verdana" w:cs="Simplified Arabic"/>
      <w:bCs/>
      <w:sz w:val="19"/>
      <w:szCs w:val="28"/>
      <w:lang w:val="en-US" w:eastAsia="zh-CN"/>
    </w:rPr>
  </w:style>
  <w:style w:type="paragraph" w:customStyle="1" w:styleId="CEOLogo">
    <w:name w:val="CEO_Logo"/>
    <w:basedOn w:val="Normal"/>
    <w:rsid w:val="002933A3"/>
    <w:pPr>
      <w:spacing w:before="0" w:after="120"/>
      <w:jc w:val="right"/>
    </w:pPr>
    <w:rPr>
      <w:rFonts w:ascii="Verdana" w:eastAsia="SimHei" w:hAnsi="Verdana" w:cs="Simplified Arabic"/>
      <w:bCs/>
      <w:sz w:val="19"/>
      <w:szCs w:val="28"/>
      <w:lang w:val="en-US" w:eastAsia="zh-CN"/>
    </w:rPr>
  </w:style>
  <w:style w:type="paragraph" w:customStyle="1" w:styleId="CEOMeetingSTG">
    <w:name w:val="CEO_MeetingSTG"/>
    <w:basedOn w:val="CEOMeetingName"/>
    <w:rsid w:val="002933A3"/>
    <w:pPr>
      <w:spacing w:before="120" w:after="120"/>
    </w:pPr>
  </w:style>
  <w:style w:type="paragraph" w:customStyle="1" w:styleId="CEORevision">
    <w:name w:val="CEO_Revision"/>
    <w:basedOn w:val="Normal"/>
    <w:autoRedefine/>
    <w:rsid w:val="002933A3"/>
    <w:pPr>
      <w:tabs>
        <w:tab w:val="left" w:pos="1928"/>
      </w:tabs>
      <w:spacing w:after="120" w:line="276" w:lineRule="auto"/>
      <w:ind w:left="2835" w:hanging="2835"/>
      <w:jc w:val="left"/>
    </w:pPr>
    <w:rPr>
      <w:rFonts w:ascii="Verdana" w:eastAsia="SimHei" w:hAnsi="Verdana" w:cs="Simplified Arabic"/>
      <w:b/>
      <w:bCs/>
      <w:sz w:val="18"/>
      <w:szCs w:val="18"/>
      <w:lang w:val="en-US" w:eastAsia="zh-CN"/>
    </w:rPr>
  </w:style>
  <w:style w:type="paragraph" w:customStyle="1" w:styleId="CEORevisionNote">
    <w:name w:val="CEO_RevisionNote"/>
    <w:basedOn w:val="CEORevision"/>
    <w:autoRedefine/>
    <w:rsid w:val="002933A3"/>
    <w:rPr>
      <w:b w:val="0"/>
      <w:i/>
      <w:iCs/>
    </w:rPr>
  </w:style>
  <w:style w:type="paragraph" w:customStyle="1" w:styleId="CEOActionRequired">
    <w:name w:val="CEO_ActionRequired"/>
    <w:basedOn w:val="Normal"/>
    <w:rsid w:val="002933A3"/>
    <w:pPr>
      <w:tabs>
        <w:tab w:val="left" w:pos="1928"/>
      </w:tabs>
      <w:spacing w:after="120"/>
      <w:jc w:val="left"/>
    </w:pPr>
    <w:rPr>
      <w:rFonts w:ascii="Verdana" w:eastAsia="SimHei" w:hAnsi="Verdana" w:cs="Simplified Arabic"/>
      <w:b/>
      <w:bCs/>
      <w:sz w:val="19"/>
      <w:szCs w:val="28"/>
      <w:lang w:val="en-US" w:eastAsia="zh-CN"/>
    </w:rPr>
  </w:style>
  <w:style w:type="paragraph" w:customStyle="1" w:styleId="CEOSummaryStartHere">
    <w:name w:val="CEO_Summary_StartHere"/>
    <w:rsid w:val="002933A3"/>
    <w:pPr>
      <w:spacing w:before="120" w:after="120"/>
      <w:jc w:val="center"/>
    </w:pPr>
    <w:rPr>
      <w:rFonts w:ascii="Verdana" w:eastAsia="SimHei" w:hAnsi="Verdana" w:cs="Simplified Arabic"/>
      <w:bCs/>
      <w:sz w:val="16"/>
      <w:szCs w:val="16"/>
      <w:lang w:val="fr-FR"/>
    </w:rPr>
  </w:style>
  <w:style w:type="paragraph" w:customStyle="1" w:styleId="CEOAbstract">
    <w:name w:val="CEO_Abstract"/>
    <w:rsid w:val="002933A3"/>
    <w:pPr>
      <w:tabs>
        <w:tab w:val="left" w:pos="2127"/>
      </w:tabs>
      <w:spacing w:before="360" w:after="120"/>
    </w:pPr>
    <w:rPr>
      <w:rFonts w:ascii="Verdana" w:eastAsia="SimHei" w:hAnsi="Verdana" w:cs="Simplified Arabic"/>
      <w:b/>
      <w:sz w:val="19"/>
      <w:szCs w:val="22"/>
      <w:lang w:val="fr-CA"/>
    </w:rPr>
  </w:style>
  <w:style w:type="paragraph" w:customStyle="1" w:styleId="CEOActionRequiredDetails">
    <w:name w:val="CEO_ActionRequiredDetails"/>
    <w:rsid w:val="002933A3"/>
    <w:pPr>
      <w:spacing w:before="120"/>
    </w:pPr>
    <w:rPr>
      <w:rFonts w:ascii="Verdana" w:hAnsi="Verdana"/>
      <w:bCs/>
      <w:sz w:val="19"/>
      <w:szCs w:val="19"/>
      <w:lang w:val="en-GB" w:eastAsia="en-US"/>
    </w:rPr>
  </w:style>
  <w:style w:type="paragraph" w:customStyle="1" w:styleId="Liste1">
    <w:name w:val="Liste 1"/>
    <w:basedOn w:val="Normal"/>
    <w:rsid w:val="002933A3"/>
    <w:pPr>
      <w:numPr>
        <w:numId w:val="12"/>
      </w:numPr>
    </w:pPr>
    <w:rPr>
      <w:rFonts w:ascii="Arial" w:eastAsia="Times New Roman" w:hAnsi="Arial"/>
      <w:sz w:val="20"/>
      <w:szCs w:val="20"/>
    </w:rPr>
  </w:style>
  <w:style w:type="paragraph" w:styleId="NormalWeb">
    <w:name w:val="Normal (Web)"/>
    <w:basedOn w:val="Normal"/>
    <w:uiPriority w:val="99"/>
    <w:unhideWhenUsed/>
    <w:rsid w:val="002933A3"/>
    <w:pPr>
      <w:spacing w:before="100" w:beforeAutospacing="1" w:after="100" w:afterAutospacing="1"/>
      <w:jc w:val="left"/>
    </w:pPr>
    <w:rPr>
      <w:rFonts w:ascii="Times New Roman" w:eastAsiaTheme="minorEastAsia" w:hAnsi="Times New Roman"/>
      <w:sz w:val="24"/>
      <w:szCs w:val="24"/>
      <w:lang w:val="es-ES" w:eastAsia="es-ES"/>
    </w:rPr>
  </w:style>
  <w:style w:type="paragraph" w:customStyle="1" w:styleId="CEONormal">
    <w:name w:val="CEO_Normal"/>
    <w:autoRedefine/>
    <w:rsid w:val="002933A3"/>
    <w:pPr>
      <w:keepNext/>
      <w:keepLines/>
      <w:spacing w:before="120" w:after="120"/>
    </w:pPr>
    <w:rPr>
      <w:rFonts w:ascii="Verdana" w:hAnsi="Verdana"/>
      <w:sz w:val="19"/>
      <w:szCs w:val="19"/>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555534">
      <w:bodyDiv w:val="1"/>
      <w:marLeft w:val="0"/>
      <w:marRight w:val="0"/>
      <w:marTop w:val="0"/>
      <w:marBottom w:val="0"/>
      <w:divBdr>
        <w:top w:val="none" w:sz="0" w:space="0" w:color="auto"/>
        <w:left w:val="none" w:sz="0" w:space="0" w:color="auto"/>
        <w:bottom w:val="none" w:sz="0" w:space="0" w:color="auto"/>
        <w:right w:val="none" w:sz="0" w:space="0" w:color="auto"/>
      </w:divBdr>
    </w:div>
    <w:div w:id="95247989">
      <w:bodyDiv w:val="1"/>
      <w:marLeft w:val="0"/>
      <w:marRight w:val="0"/>
      <w:marTop w:val="0"/>
      <w:marBottom w:val="0"/>
      <w:divBdr>
        <w:top w:val="none" w:sz="0" w:space="0" w:color="auto"/>
        <w:left w:val="none" w:sz="0" w:space="0" w:color="auto"/>
        <w:bottom w:val="none" w:sz="0" w:space="0" w:color="auto"/>
        <w:right w:val="none" w:sz="0" w:space="0" w:color="auto"/>
      </w:divBdr>
    </w:div>
    <w:div w:id="134108904">
      <w:bodyDiv w:val="1"/>
      <w:marLeft w:val="0"/>
      <w:marRight w:val="0"/>
      <w:marTop w:val="0"/>
      <w:marBottom w:val="0"/>
      <w:divBdr>
        <w:top w:val="none" w:sz="0" w:space="0" w:color="auto"/>
        <w:left w:val="none" w:sz="0" w:space="0" w:color="auto"/>
        <w:bottom w:val="none" w:sz="0" w:space="0" w:color="auto"/>
        <w:right w:val="none" w:sz="0" w:space="0" w:color="auto"/>
      </w:divBdr>
    </w:div>
    <w:div w:id="182061538">
      <w:bodyDiv w:val="1"/>
      <w:marLeft w:val="0"/>
      <w:marRight w:val="0"/>
      <w:marTop w:val="0"/>
      <w:marBottom w:val="0"/>
      <w:divBdr>
        <w:top w:val="none" w:sz="0" w:space="0" w:color="auto"/>
        <w:left w:val="none" w:sz="0" w:space="0" w:color="auto"/>
        <w:bottom w:val="none" w:sz="0" w:space="0" w:color="auto"/>
        <w:right w:val="none" w:sz="0" w:space="0" w:color="auto"/>
      </w:divBdr>
    </w:div>
    <w:div w:id="214972113">
      <w:bodyDiv w:val="1"/>
      <w:marLeft w:val="0"/>
      <w:marRight w:val="0"/>
      <w:marTop w:val="0"/>
      <w:marBottom w:val="0"/>
      <w:divBdr>
        <w:top w:val="none" w:sz="0" w:space="0" w:color="auto"/>
        <w:left w:val="none" w:sz="0" w:space="0" w:color="auto"/>
        <w:bottom w:val="none" w:sz="0" w:space="0" w:color="auto"/>
        <w:right w:val="none" w:sz="0" w:space="0" w:color="auto"/>
      </w:divBdr>
    </w:div>
    <w:div w:id="271279860">
      <w:bodyDiv w:val="1"/>
      <w:marLeft w:val="0"/>
      <w:marRight w:val="0"/>
      <w:marTop w:val="0"/>
      <w:marBottom w:val="0"/>
      <w:divBdr>
        <w:top w:val="none" w:sz="0" w:space="0" w:color="auto"/>
        <w:left w:val="none" w:sz="0" w:space="0" w:color="auto"/>
        <w:bottom w:val="none" w:sz="0" w:space="0" w:color="auto"/>
        <w:right w:val="none" w:sz="0" w:space="0" w:color="auto"/>
      </w:divBdr>
    </w:div>
    <w:div w:id="317805900">
      <w:bodyDiv w:val="1"/>
      <w:marLeft w:val="0"/>
      <w:marRight w:val="0"/>
      <w:marTop w:val="0"/>
      <w:marBottom w:val="0"/>
      <w:divBdr>
        <w:top w:val="none" w:sz="0" w:space="0" w:color="auto"/>
        <w:left w:val="none" w:sz="0" w:space="0" w:color="auto"/>
        <w:bottom w:val="none" w:sz="0" w:space="0" w:color="auto"/>
        <w:right w:val="none" w:sz="0" w:space="0" w:color="auto"/>
      </w:divBdr>
    </w:div>
    <w:div w:id="377172964">
      <w:bodyDiv w:val="1"/>
      <w:marLeft w:val="0"/>
      <w:marRight w:val="0"/>
      <w:marTop w:val="0"/>
      <w:marBottom w:val="0"/>
      <w:divBdr>
        <w:top w:val="none" w:sz="0" w:space="0" w:color="auto"/>
        <w:left w:val="none" w:sz="0" w:space="0" w:color="auto"/>
        <w:bottom w:val="none" w:sz="0" w:space="0" w:color="auto"/>
        <w:right w:val="none" w:sz="0" w:space="0" w:color="auto"/>
      </w:divBdr>
    </w:div>
    <w:div w:id="399836762">
      <w:bodyDiv w:val="1"/>
      <w:marLeft w:val="0"/>
      <w:marRight w:val="0"/>
      <w:marTop w:val="0"/>
      <w:marBottom w:val="0"/>
      <w:divBdr>
        <w:top w:val="none" w:sz="0" w:space="0" w:color="auto"/>
        <w:left w:val="none" w:sz="0" w:space="0" w:color="auto"/>
        <w:bottom w:val="none" w:sz="0" w:space="0" w:color="auto"/>
        <w:right w:val="none" w:sz="0" w:space="0" w:color="auto"/>
      </w:divBdr>
    </w:div>
    <w:div w:id="413668227">
      <w:bodyDiv w:val="1"/>
      <w:marLeft w:val="0"/>
      <w:marRight w:val="0"/>
      <w:marTop w:val="0"/>
      <w:marBottom w:val="0"/>
      <w:divBdr>
        <w:top w:val="none" w:sz="0" w:space="0" w:color="auto"/>
        <w:left w:val="none" w:sz="0" w:space="0" w:color="auto"/>
        <w:bottom w:val="none" w:sz="0" w:space="0" w:color="auto"/>
        <w:right w:val="none" w:sz="0" w:space="0" w:color="auto"/>
      </w:divBdr>
    </w:div>
    <w:div w:id="479662176">
      <w:bodyDiv w:val="1"/>
      <w:marLeft w:val="0"/>
      <w:marRight w:val="0"/>
      <w:marTop w:val="0"/>
      <w:marBottom w:val="0"/>
      <w:divBdr>
        <w:top w:val="none" w:sz="0" w:space="0" w:color="auto"/>
        <w:left w:val="none" w:sz="0" w:space="0" w:color="auto"/>
        <w:bottom w:val="none" w:sz="0" w:space="0" w:color="auto"/>
        <w:right w:val="none" w:sz="0" w:space="0" w:color="auto"/>
      </w:divBdr>
    </w:div>
    <w:div w:id="666664706">
      <w:bodyDiv w:val="1"/>
      <w:marLeft w:val="0"/>
      <w:marRight w:val="0"/>
      <w:marTop w:val="0"/>
      <w:marBottom w:val="0"/>
      <w:divBdr>
        <w:top w:val="none" w:sz="0" w:space="0" w:color="auto"/>
        <w:left w:val="none" w:sz="0" w:space="0" w:color="auto"/>
        <w:bottom w:val="none" w:sz="0" w:space="0" w:color="auto"/>
        <w:right w:val="none" w:sz="0" w:space="0" w:color="auto"/>
      </w:divBdr>
    </w:div>
    <w:div w:id="695496665">
      <w:bodyDiv w:val="1"/>
      <w:marLeft w:val="0"/>
      <w:marRight w:val="0"/>
      <w:marTop w:val="0"/>
      <w:marBottom w:val="0"/>
      <w:divBdr>
        <w:top w:val="none" w:sz="0" w:space="0" w:color="auto"/>
        <w:left w:val="none" w:sz="0" w:space="0" w:color="auto"/>
        <w:bottom w:val="none" w:sz="0" w:space="0" w:color="auto"/>
        <w:right w:val="none" w:sz="0" w:space="0" w:color="auto"/>
      </w:divBdr>
    </w:div>
    <w:div w:id="719522215">
      <w:bodyDiv w:val="1"/>
      <w:marLeft w:val="0"/>
      <w:marRight w:val="0"/>
      <w:marTop w:val="0"/>
      <w:marBottom w:val="0"/>
      <w:divBdr>
        <w:top w:val="none" w:sz="0" w:space="0" w:color="auto"/>
        <w:left w:val="none" w:sz="0" w:space="0" w:color="auto"/>
        <w:bottom w:val="none" w:sz="0" w:space="0" w:color="auto"/>
        <w:right w:val="none" w:sz="0" w:space="0" w:color="auto"/>
      </w:divBdr>
    </w:div>
    <w:div w:id="818495479">
      <w:bodyDiv w:val="1"/>
      <w:marLeft w:val="0"/>
      <w:marRight w:val="0"/>
      <w:marTop w:val="0"/>
      <w:marBottom w:val="0"/>
      <w:divBdr>
        <w:top w:val="none" w:sz="0" w:space="0" w:color="auto"/>
        <w:left w:val="none" w:sz="0" w:space="0" w:color="auto"/>
        <w:bottom w:val="none" w:sz="0" w:space="0" w:color="auto"/>
        <w:right w:val="none" w:sz="0" w:space="0" w:color="auto"/>
      </w:divBdr>
    </w:div>
    <w:div w:id="829516844">
      <w:bodyDiv w:val="1"/>
      <w:marLeft w:val="0"/>
      <w:marRight w:val="0"/>
      <w:marTop w:val="0"/>
      <w:marBottom w:val="0"/>
      <w:divBdr>
        <w:top w:val="none" w:sz="0" w:space="0" w:color="auto"/>
        <w:left w:val="none" w:sz="0" w:space="0" w:color="auto"/>
        <w:bottom w:val="none" w:sz="0" w:space="0" w:color="auto"/>
        <w:right w:val="none" w:sz="0" w:space="0" w:color="auto"/>
      </w:divBdr>
    </w:div>
    <w:div w:id="883060336">
      <w:bodyDiv w:val="1"/>
      <w:marLeft w:val="0"/>
      <w:marRight w:val="0"/>
      <w:marTop w:val="0"/>
      <w:marBottom w:val="0"/>
      <w:divBdr>
        <w:top w:val="none" w:sz="0" w:space="0" w:color="auto"/>
        <w:left w:val="none" w:sz="0" w:space="0" w:color="auto"/>
        <w:bottom w:val="none" w:sz="0" w:space="0" w:color="auto"/>
        <w:right w:val="none" w:sz="0" w:space="0" w:color="auto"/>
      </w:divBdr>
    </w:div>
    <w:div w:id="984967535">
      <w:bodyDiv w:val="1"/>
      <w:marLeft w:val="0"/>
      <w:marRight w:val="0"/>
      <w:marTop w:val="0"/>
      <w:marBottom w:val="0"/>
      <w:divBdr>
        <w:top w:val="none" w:sz="0" w:space="0" w:color="auto"/>
        <w:left w:val="none" w:sz="0" w:space="0" w:color="auto"/>
        <w:bottom w:val="none" w:sz="0" w:space="0" w:color="auto"/>
        <w:right w:val="none" w:sz="0" w:space="0" w:color="auto"/>
      </w:divBdr>
    </w:div>
    <w:div w:id="1021587082">
      <w:bodyDiv w:val="1"/>
      <w:marLeft w:val="0"/>
      <w:marRight w:val="0"/>
      <w:marTop w:val="0"/>
      <w:marBottom w:val="0"/>
      <w:divBdr>
        <w:top w:val="none" w:sz="0" w:space="0" w:color="auto"/>
        <w:left w:val="none" w:sz="0" w:space="0" w:color="auto"/>
        <w:bottom w:val="none" w:sz="0" w:space="0" w:color="auto"/>
        <w:right w:val="none" w:sz="0" w:space="0" w:color="auto"/>
      </w:divBdr>
    </w:div>
    <w:div w:id="1049039525">
      <w:bodyDiv w:val="1"/>
      <w:marLeft w:val="0"/>
      <w:marRight w:val="0"/>
      <w:marTop w:val="0"/>
      <w:marBottom w:val="0"/>
      <w:divBdr>
        <w:top w:val="none" w:sz="0" w:space="0" w:color="auto"/>
        <w:left w:val="none" w:sz="0" w:space="0" w:color="auto"/>
        <w:bottom w:val="none" w:sz="0" w:space="0" w:color="auto"/>
        <w:right w:val="none" w:sz="0" w:space="0" w:color="auto"/>
      </w:divBdr>
    </w:div>
    <w:div w:id="1111390224">
      <w:bodyDiv w:val="1"/>
      <w:marLeft w:val="0"/>
      <w:marRight w:val="0"/>
      <w:marTop w:val="0"/>
      <w:marBottom w:val="0"/>
      <w:divBdr>
        <w:top w:val="none" w:sz="0" w:space="0" w:color="auto"/>
        <w:left w:val="none" w:sz="0" w:space="0" w:color="auto"/>
        <w:bottom w:val="none" w:sz="0" w:space="0" w:color="auto"/>
        <w:right w:val="none" w:sz="0" w:space="0" w:color="auto"/>
      </w:divBdr>
    </w:div>
    <w:div w:id="1126267627">
      <w:bodyDiv w:val="1"/>
      <w:marLeft w:val="0"/>
      <w:marRight w:val="0"/>
      <w:marTop w:val="0"/>
      <w:marBottom w:val="0"/>
      <w:divBdr>
        <w:top w:val="none" w:sz="0" w:space="0" w:color="auto"/>
        <w:left w:val="none" w:sz="0" w:space="0" w:color="auto"/>
        <w:bottom w:val="none" w:sz="0" w:space="0" w:color="auto"/>
        <w:right w:val="none" w:sz="0" w:space="0" w:color="auto"/>
      </w:divBdr>
    </w:div>
    <w:div w:id="1131166560">
      <w:bodyDiv w:val="1"/>
      <w:marLeft w:val="0"/>
      <w:marRight w:val="0"/>
      <w:marTop w:val="0"/>
      <w:marBottom w:val="0"/>
      <w:divBdr>
        <w:top w:val="none" w:sz="0" w:space="0" w:color="auto"/>
        <w:left w:val="none" w:sz="0" w:space="0" w:color="auto"/>
        <w:bottom w:val="none" w:sz="0" w:space="0" w:color="auto"/>
        <w:right w:val="none" w:sz="0" w:space="0" w:color="auto"/>
      </w:divBdr>
    </w:div>
    <w:div w:id="1149518423">
      <w:bodyDiv w:val="1"/>
      <w:marLeft w:val="0"/>
      <w:marRight w:val="0"/>
      <w:marTop w:val="0"/>
      <w:marBottom w:val="0"/>
      <w:divBdr>
        <w:top w:val="none" w:sz="0" w:space="0" w:color="auto"/>
        <w:left w:val="none" w:sz="0" w:space="0" w:color="auto"/>
        <w:bottom w:val="none" w:sz="0" w:space="0" w:color="auto"/>
        <w:right w:val="none" w:sz="0" w:space="0" w:color="auto"/>
      </w:divBdr>
    </w:div>
    <w:div w:id="1155758259">
      <w:bodyDiv w:val="1"/>
      <w:marLeft w:val="0"/>
      <w:marRight w:val="0"/>
      <w:marTop w:val="0"/>
      <w:marBottom w:val="0"/>
      <w:divBdr>
        <w:top w:val="none" w:sz="0" w:space="0" w:color="auto"/>
        <w:left w:val="none" w:sz="0" w:space="0" w:color="auto"/>
        <w:bottom w:val="none" w:sz="0" w:space="0" w:color="auto"/>
        <w:right w:val="none" w:sz="0" w:space="0" w:color="auto"/>
      </w:divBdr>
    </w:div>
    <w:div w:id="1220173311">
      <w:bodyDiv w:val="1"/>
      <w:marLeft w:val="0"/>
      <w:marRight w:val="0"/>
      <w:marTop w:val="0"/>
      <w:marBottom w:val="0"/>
      <w:divBdr>
        <w:top w:val="none" w:sz="0" w:space="0" w:color="auto"/>
        <w:left w:val="none" w:sz="0" w:space="0" w:color="auto"/>
        <w:bottom w:val="none" w:sz="0" w:space="0" w:color="auto"/>
        <w:right w:val="none" w:sz="0" w:space="0" w:color="auto"/>
      </w:divBdr>
    </w:div>
    <w:div w:id="1385909476">
      <w:bodyDiv w:val="1"/>
      <w:marLeft w:val="0"/>
      <w:marRight w:val="0"/>
      <w:marTop w:val="0"/>
      <w:marBottom w:val="0"/>
      <w:divBdr>
        <w:top w:val="none" w:sz="0" w:space="0" w:color="auto"/>
        <w:left w:val="none" w:sz="0" w:space="0" w:color="auto"/>
        <w:bottom w:val="none" w:sz="0" w:space="0" w:color="auto"/>
        <w:right w:val="none" w:sz="0" w:space="0" w:color="auto"/>
      </w:divBdr>
    </w:div>
    <w:div w:id="1553224780">
      <w:bodyDiv w:val="1"/>
      <w:marLeft w:val="0"/>
      <w:marRight w:val="0"/>
      <w:marTop w:val="0"/>
      <w:marBottom w:val="0"/>
      <w:divBdr>
        <w:top w:val="none" w:sz="0" w:space="0" w:color="auto"/>
        <w:left w:val="none" w:sz="0" w:space="0" w:color="auto"/>
        <w:bottom w:val="none" w:sz="0" w:space="0" w:color="auto"/>
        <w:right w:val="none" w:sz="0" w:space="0" w:color="auto"/>
      </w:divBdr>
    </w:div>
    <w:div w:id="1673213988">
      <w:bodyDiv w:val="1"/>
      <w:marLeft w:val="0"/>
      <w:marRight w:val="0"/>
      <w:marTop w:val="0"/>
      <w:marBottom w:val="0"/>
      <w:divBdr>
        <w:top w:val="none" w:sz="0" w:space="0" w:color="auto"/>
        <w:left w:val="none" w:sz="0" w:space="0" w:color="auto"/>
        <w:bottom w:val="none" w:sz="0" w:space="0" w:color="auto"/>
        <w:right w:val="none" w:sz="0" w:space="0" w:color="auto"/>
      </w:divBdr>
    </w:div>
    <w:div w:id="1744140668">
      <w:bodyDiv w:val="1"/>
      <w:marLeft w:val="0"/>
      <w:marRight w:val="0"/>
      <w:marTop w:val="0"/>
      <w:marBottom w:val="0"/>
      <w:divBdr>
        <w:top w:val="none" w:sz="0" w:space="0" w:color="auto"/>
        <w:left w:val="none" w:sz="0" w:space="0" w:color="auto"/>
        <w:bottom w:val="none" w:sz="0" w:space="0" w:color="auto"/>
        <w:right w:val="none" w:sz="0" w:space="0" w:color="auto"/>
      </w:divBdr>
    </w:div>
    <w:div w:id="1828403986">
      <w:bodyDiv w:val="1"/>
      <w:marLeft w:val="0"/>
      <w:marRight w:val="0"/>
      <w:marTop w:val="0"/>
      <w:marBottom w:val="0"/>
      <w:divBdr>
        <w:top w:val="none" w:sz="0" w:space="0" w:color="auto"/>
        <w:left w:val="none" w:sz="0" w:space="0" w:color="auto"/>
        <w:bottom w:val="none" w:sz="0" w:space="0" w:color="auto"/>
        <w:right w:val="none" w:sz="0" w:space="0" w:color="auto"/>
      </w:divBdr>
    </w:div>
    <w:div w:id="1948809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hyperlink" Target="http://www.itu.int/md/meetingdoc.asp?lang=en&amp;parent=D10-RES9-130613-C&amp;source=BDT%20Focal%20Point%20for%20Resolution%209" TargetMode="External"/><Relationship Id="rId21" Type="http://schemas.openxmlformats.org/officeDocument/2006/relationships/image" Target="media/image5.wmf"/><Relationship Id="rId42" Type="http://schemas.openxmlformats.org/officeDocument/2006/relationships/oleObject" Target="embeddings/oleObject11.bin"/><Relationship Id="rId47" Type="http://schemas.openxmlformats.org/officeDocument/2006/relationships/image" Target="media/image18.wmf"/><Relationship Id="rId63" Type="http://schemas.openxmlformats.org/officeDocument/2006/relationships/image" Target="media/image26.wmf"/><Relationship Id="rId68" Type="http://schemas.openxmlformats.org/officeDocument/2006/relationships/oleObject" Target="embeddings/oleObject24.bin"/><Relationship Id="rId84" Type="http://schemas.openxmlformats.org/officeDocument/2006/relationships/hyperlink" Target="http://www.itu.int/md/D10-RES9-C-0002/en" TargetMode="External"/><Relationship Id="rId89" Type="http://schemas.openxmlformats.org/officeDocument/2006/relationships/hyperlink" Target="http://www.itu.int/md/D10-RES9-C-0007/en" TargetMode="External"/><Relationship Id="rId112" Type="http://schemas.openxmlformats.org/officeDocument/2006/relationships/hyperlink" Target="http://www.itu.int/md/D10-RES9-R-0002/" TargetMode="External"/><Relationship Id="rId133" Type="http://schemas.openxmlformats.org/officeDocument/2006/relationships/hyperlink" Target="http://www.itu.int/pub/D-STG-SG02.FEES-1-2010" TargetMode="External"/><Relationship Id="rId16" Type="http://schemas.openxmlformats.org/officeDocument/2006/relationships/package" Target="embeddings/Microsoft_Word_Document1.docx"/><Relationship Id="rId107" Type="http://schemas.openxmlformats.org/officeDocument/2006/relationships/hyperlink" Target="http://www.itu.int/md/meetingdoc.asp?lang=en&amp;parent=D10-RES9-120921-C&amp;source=BDT%20Focal%20Point%20for%20Resolution%209" TargetMode="External"/><Relationship Id="rId11" Type="http://schemas.openxmlformats.org/officeDocument/2006/relationships/footer" Target="footer1.xml"/><Relationship Id="rId32" Type="http://schemas.openxmlformats.org/officeDocument/2006/relationships/oleObject" Target="embeddings/oleObject7.bin"/><Relationship Id="rId37" Type="http://schemas.openxmlformats.org/officeDocument/2006/relationships/image" Target="media/image13.wmf"/><Relationship Id="rId53" Type="http://schemas.openxmlformats.org/officeDocument/2006/relationships/image" Target="media/image21.wmf"/><Relationship Id="rId58" Type="http://schemas.openxmlformats.org/officeDocument/2006/relationships/oleObject" Target="embeddings/oleObject19.bin"/><Relationship Id="rId74" Type="http://schemas.openxmlformats.org/officeDocument/2006/relationships/hyperlink" Target="http://www.itu.int/md/meetingdoc.asp?lang=en&amp;parent=D10-SG02-C-0007" TargetMode="External"/><Relationship Id="rId79" Type="http://schemas.openxmlformats.org/officeDocument/2006/relationships/hyperlink" Target="http://www.itu.int/md/meetingdoc.asp?lang=en&amp;parent=D10-SG02-INF-0005" TargetMode="External"/><Relationship Id="rId102" Type="http://schemas.openxmlformats.org/officeDocument/2006/relationships/hyperlink" Target="http://www.itu.int/md/meetingdoc.asp?lang=en&amp;parent=D10-SG02-C-0061" TargetMode="External"/><Relationship Id="rId123" Type="http://schemas.openxmlformats.org/officeDocument/2006/relationships/hyperlink" Target="http://www.itu.int/md/meetingdoc.asp?lang=en&amp;parent=D10-RES9-130613-C&amp;source=ITU-D%20Co-Chairman,%20Joint%20Group%20on%20Resolution%209" TargetMode="External"/><Relationship Id="rId128" Type="http://schemas.openxmlformats.org/officeDocument/2006/relationships/hyperlink" Target="http://www.itu.int/md/meetingdoc.asp?lang=en&amp;parent=D10-SG02-C-0279" TargetMode="External"/><Relationship Id="rId5" Type="http://schemas.openxmlformats.org/officeDocument/2006/relationships/settings" Target="settings.xml"/><Relationship Id="rId90" Type="http://schemas.openxmlformats.org/officeDocument/2006/relationships/hyperlink" Target="http://www.itu.int/md/meetingdoc.asp?lang=en&amp;parent=D10-SG02-INF-0005" TargetMode="External"/><Relationship Id="rId95" Type="http://schemas.openxmlformats.org/officeDocument/2006/relationships/hyperlink" Target="http://www.itu.int/md/meetingdoc.asp?lang=en&amp;parent=D10-SG02-C-0126" TargetMode="External"/><Relationship Id="rId14" Type="http://schemas.openxmlformats.org/officeDocument/2006/relationships/footer" Target="footer3.xml"/><Relationship Id="rId22" Type="http://schemas.openxmlformats.org/officeDocument/2006/relationships/oleObject" Target="embeddings/oleObject2.bin"/><Relationship Id="rId27" Type="http://schemas.openxmlformats.org/officeDocument/2006/relationships/image" Target="media/image8.wmf"/><Relationship Id="rId30" Type="http://schemas.openxmlformats.org/officeDocument/2006/relationships/oleObject" Target="embeddings/oleObject6.bin"/><Relationship Id="rId35" Type="http://schemas.openxmlformats.org/officeDocument/2006/relationships/image" Target="media/image12.emf"/><Relationship Id="rId43" Type="http://schemas.openxmlformats.org/officeDocument/2006/relationships/image" Target="media/image16.wmf"/><Relationship Id="rId48" Type="http://schemas.openxmlformats.org/officeDocument/2006/relationships/oleObject" Target="embeddings/oleObject14.bin"/><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29.wmf"/><Relationship Id="rId77" Type="http://schemas.openxmlformats.org/officeDocument/2006/relationships/hyperlink" Target="http://www.itu.int/md/meetingdoc.asp?lang=en&amp;parent=D10-SG02-C-0060" TargetMode="External"/><Relationship Id="rId100" Type="http://schemas.openxmlformats.org/officeDocument/2006/relationships/hyperlink" Target="http://www.itu.int/md/meetingdoc.asp?lang=en&amp;parent=D10-SG02-C-0073" TargetMode="External"/><Relationship Id="rId105" Type="http://schemas.openxmlformats.org/officeDocument/2006/relationships/hyperlink" Target="http://www.itu.int/md/meetingdoc.asp?lang=en&amp;parent=D10-SG02-OJ-0011" TargetMode="External"/><Relationship Id="rId113" Type="http://schemas.openxmlformats.org/officeDocument/2006/relationships/hyperlink" Target="http://www.itu.int/md/meetingdoc.asp?lang=en&amp;parent=D10-RES9-120921-C&amp;source=Chairman,%20ITU-D%20Study%20Group%202" TargetMode="External"/><Relationship Id="rId118" Type="http://schemas.openxmlformats.org/officeDocument/2006/relationships/hyperlink" Target="http://www.itu.int/md/meetingdoc.asp?lang=en&amp;parent=D10-RES9-130613-C&amp;source=BDT%20Focal%20Point%20for%20Resolution%209" TargetMode="External"/><Relationship Id="rId126" Type="http://schemas.openxmlformats.org/officeDocument/2006/relationships/hyperlink" Target="http://www.itu.int/md/meetingdoc.asp?lang=en&amp;parent=D10-SG02-C-0306" TargetMode="External"/><Relationship Id="rId134"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20.wmf"/><Relationship Id="rId72" Type="http://schemas.openxmlformats.org/officeDocument/2006/relationships/package" Target="embeddings/Microsoft_Word_Document4.docx"/><Relationship Id="rId80" Type="http://schemas.openxmlformats.org/officeDocument/2006/relationships/hyperlink" Target="http://www.itu.int/md/D10-SG02-R-0010/" TargetMode="External"/><Relationship Id="rId85" Type="http://schemas.openxmlformats.org/officeDocument/2006/relationships/hyperlink" Target="http://www.itu.int/md/D10-RES9-C-0003/en" TargetMode="External"/><Relationship Id="rId93" Type="http://schemas.openxmlformats.org/officeDocument/2006/relationships/hyperlink" Target="http://www.itu.int/md/D10-SG02-R-0012" TargetMode="External"/><Relationship Id="rId98" Type="http://schemas.openxmlformats.org/officeDocument/2006/relationships/hyperlink" Target="http://www.itu.int/md/meetingdoc.asp?lang=en&amp;parent=D10-SG02-C-0075" TargetMode="External"/><Relationship Id="rId121" Type="http://schemas.openxmlformats.org/officeDocument/2006/relationships/hyperlink" Target="http://www.itu.int/md/meetingdoc.asp?lang=en&amp;parent=D10-RES9-130613-C&amp;source=European%20Communications%20Office"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3.emf"/><Relationship Id="rId25" Type="http://schemas.openxmlformats.org/officeDocument/2006/relationships/image" Target="media/image7.wmf"/><Relationship Id="rId33" Type="http://schemas.openxmlformats.org/officeDocument/2006/relationships/image" Target="media/image11.w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4.wmf"/><Relationship Id="rId67" Type="http://schemas.openxmlformats.org/officeDocument/2006/relationships/image" Target="media/image28.wmf"/><Relationship Id="rId103" Type="http://schemas.openxmlformats.org/officeDocument/2006/relationships/hyperlink" Target="http://www.itu.int/md/meetingdoc.asp?lang=en&amp;parent=D10-SG02-INF-0030" TargetMode="External"/><Relationship Id="rId108" Type="http://schemas.openxmlformats.org/officeDocument/2006/relationships/hyperlink" Target="http://www.itu.int/md/meetingdoc.asp?lang=en&amp;parent=D10-RES9-120921-C&amp;source=Eritrea" TargetMode="External"/><Relationship Id="rId116" Type="http://schemas.openxmlformats.org/officeDocument/2006/relationships/hyperlink" Target="http://www.itu.int/md/D10-RES9-C-0001/en" TargetMode="External"/><Relationship Id="rId124" Type="http://schemas.openxmlformats.org/officeDocument/2006/relationships/hyperlink" Target="http://www.itu.int/md/meetingdoc.asp?lang=en&amp;parent=D10-RES9-130613-C&amp;source=ITU-D%20Co-Chairman,%20Joint%20Group%20on%20Resolution%209" TargetMode="External"/><Relationship Id="rId129" Type="http://schemas.openxmlformats.org/officeDocument/2006/relationships/hyperlink" Target="http://www.itu.int/md/meetingdoc.asp?lang=en&amp;parent=D10-SG02-C-0267" TargetMode="External"/><Relationship Id="rId137" Type="http://schemas.openxmlformats.org/officeDocument/2006/relationships/theme" Target="theme/theme1.xml"/><Relationship Id="rId20" Type="http://schemas.openxmlformats.org/officeDocument/2006/relationships/oleObject" Target="embeddings/oleObject1.bin"/><Relationship Id="rId41" Type="http://schemas.openxmlformats.org/officeDocument/2006/relationships/image" Target="media/image15.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hyperlink" Target="http://www.itu.int/md/D10-SG02-C-0031/en" TargetMode="External"/><Relationship Id="rId83" Type="http://schemas.openxmlformats.org/officeDocument/2006/relationships/hyperlink" Target="http://www.itu.int/md/D10-RES9-C-0001/en" TargetMode="External"/><Relationship Id="rId88" Type="http://schemas.openxmlformats.org/officeDocument/2006/relationships/hyperlink" Target="http://www.itu.int/md/D10-RES9-C-0006/en" TargetMode="External"/><Relationship Id="rId91" Type="http://schemas.openxmlformats.org/officeDocument/2006/relationships/hyperlink" Target="http://www.itu.int/md/D10-RES9-INF-0002/en" TargetMode="External"/><Relationship Id="rId96" Type="http://schemas.openxmlformats.org/officeDocument/2006/relationships/hyperlink" Target="http://www.itu.int/md/meetingdoc.asp?lang=en&amp;parent=D10-SG02-C-0110" TargetMode="External"/><Relationship Id="rId111" Type="http://schemas.openxmlformats.org/officeDocument/2006/relationships/hyperlink" Target="http://www.itu.int/md/meetingdoc.asp?lang=en&amp;parent=D10-RES9-120921-C&amp;source=Radiocommunication%20Bureau" TargetMode="External"/><Relationship Id="rId132" Type="http://schemas.openxmlformats.org/officeDocument/2006/relationships/hyperlink" Target="http://www.itu.int/pub/D-STG-SG02.RES09-2010"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wmf"/><Relationship Id="rId28" Type="http://schemas.openxmlformats.org/officeDocument/2006/relationships/oleObject" Target="embeddings/oleObject5.bin"/><Relationship Id="rId36" Type="http://schemas.openxmlformats.org/officeDocument/2006/relationships/package" Target="embeddings/Microsoft_Word_Document3.docx"/><Relationship Id="rId49" Type="http://schemas.openxmlformats.org/officeDocument/2006/relationships/image" Target="media/image19.wmf"/><Relationship Id="rId57" Type="http://schemas.openxmlformats.org/officeDocument/2006/relationships/image" Target="media/image23.wmf"/><Relationship Id="rId106" Type="http://schemas.openxmlformats.org/officeDocument/2006/relationships/hyperlink" Target="http://www.itu.int/md/meetingdoc.asp?lang=en&amp;parent=D10-RES9-120921-OJ&amp;source=Chairman,%20ITU-D%20Study%20Group%202" TargetMode="External"/><Relationship Id="rId114" Type="http://schemas.openxmlformats.org/officeDocument/2006/relationships/hyperlink" Target="http://www.itu.int/md/meetingdoc.asp?lang=en&amp;parent=D10-SG02-OJ-0011" TargetMode="External"/><Relationship Id="rId119" Type="http://schemas.openxmlformats.org/officeDocument/2006/relationships/hyperlink" Target="http://www.itu.int/md/meetingdoc.asp?lang=en&amp;parent=D10-RES9-130613-C&amp;source=BDT%20Focal%20Point%20for%20Resolution%209" TargetMode="External"/><Relationship Id="rId127" Type="http://schemas.openxmlformats.org/officeDocument/2006/relationships/hyperlink" Target="http://www.itu.int/md/meetingdoc.asp?lang=en&amp;parent=D10-SG02-C-0294" TargetMode="External"/><Relationship Id="rId10" Type="http://schemas.openxmlformats.org/officeDocument/2006/relationships/header" Target="header2.xml"/><Relationship Id="rId31" Type="http://schemas.openxmlformats.org/officeDocument/2006/relationships/image" Target="media/image10.w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27.wmf"/><Relationship Id="rId73" Type="http://schemas.openxmlformats.org/officeDocument/2006/relationships/hyperlink" Target="http://www.itu.int/md/meetingdoc.asp?lang=en&amp;parent=D10-SG02-OJ-0011" TargetMode="External"/><Relationship Id="rId78" Type="http://schemas.openxmlformats.org/officeDocument/2006/relationships/hyperlink" Target="http://www.itu.int/md/meetingdoc.asp?lang=en&amp;parent=D10-SG02-C-0061" TargetMode="External"/><Relationship Id="rId81" Type="http://schemas.openxmlformats.org/officeDocument/2006/relationships/hyperlink" Target="http://www.itu.int/md/meetingdoc.asp?lang=en&amp;parent=D10-SG02-OJ-0011" TargetMode="External"/><Relationship Id="rId86" Type="http://schemas.openxmlformats.org/officeDocument/2006/relationships/hyperlink" Target="http://www.itu.int/md/D10-RES9-C-0004/en" TargetMode="External"/><Relationship Id="rId94" Type="http://schemas.openxmlformats.org/officeDocument/2006/relationships/hyperlink" Target="http://www.itu.int/md/meetingdoc.asp?lang=en&amp;parent=D10-SG02-OJ-0011" TargetMode="External"/><Relationship Id="rId99" Type="http://schemas.openxmlformats.org/officeDocument/2006/relationships/hyperlink" Target="http://www.itu.int/md/meetingdoc.asp?lang=en&amp;parent=D10-SG02-C-0074" TargetMode="External"/><Relationship Id="rId101" Type="http://schemas.openxmlformats.org/officeDocument/2006/relationships/hyperlink" Target="http://www.itu.int/md/meetingdoc.asp?lang=en&amp;parent=D10-SG02-C-0072" TargetMode="External"/><Relationship Id="rId122" Type="http://schemas.openxmlformats.org/officeDocument/2006/relationships/hyperlink" Target="http://www.itu.int/md/meetingdoc.asp?lang=en&amp;parent=D10-RES9-130613-C&amp;source=ITU-R%20Study%20Groups%20-%20Working%20Party%205A" TargetMode="External"/><Relationship Id="rId130" Type="http://schemas.openxmlformats.org/officeDocument/2006/relationships/hyperlink" Target="http://www.itu.int/md/meetingdoc.asp?lang=en&amp;parent=D10-SG02-C-0264" TargetMode="External"/><Relationship Id="rId135"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package" Target="embeddings/Microsoft_Word_Document2.docx"/><Relationship Id="rId39" Type="http://schemas.openxmlformats.org/officeDocument/2006/relationships/image" Target="media/image14.wmf"/><Relationship Id="rId109" Type="http://schemas.openxmlformats.org/officeDocument/2006/relationships/hyperlink" Target="http://www.itu.int/md/meetingdoc.asp?lang=en&amp;parent=D10-RES9-120921-C&amp;source=Chairman,%20ITU-D%20Study%20Group%202" TargetMode="External"/><Relationship Id="rId34" Type="http://schemas.openxmlformats.org/officeDocument/2006/relationships/oleObject" Target="embeddings/oleObject8.bin"/><Relationship Id="rId50" Type="http://schemas.openxmlformats.org/officeDocument/2006/relationships/oleObject" Target="embeddings/oleObject15.bin"/><Relationship Id="rId55" Type="http://schemas.openxmlformats.org/officeDocument/2006/relationships/image" Target="media/image22.wmf"/><Relationship Id="rId76" Type="http://schemas.openxmlformats.org/officeDocument/2006/relationships/hyperlink" Target="http://www.itu.int/md/meetingdoc.asp?lang=en&amp;parent=D10-SG02-C-0059" TargetMode="External"/><Relationship Id="rId97" Type="http://schemas.openxmlformats.org/officeDocument/2006/relationships/hyperlink" Target="http://www.itu.int/md/meetingdoc.asp?lang=en&amp;parent=D10-SG02-C-0107" TargetMode="External"/><Relationship Id="rId104" Type="http://schemas.openxmlformats.org/officeDocument/2006/relationships/hyperlink" Target="http://www.itu.int/md/meetingdoc.asp?lang=en&amp;parent=D10-SG02-R-0012" TargetMode="External"/><Relationship Id="rId120" Type="http://schemas.openxmlformats.org/officeDocument/2006/relationships/hyperlink" Target="http://www.itu.int/md/meetingdoc.asp?lang=en&amp;parent=D10-RES9-130613-C&amp;source=Colombia%20%28Republic%20of%29" TargetMode="External"/><Relationship Id="rId125" Type="http://schemas.openxmlformats.org/officeDocument/2006/relationships/hyperlink" Target="http://www.itu.int/md/meetingdoc.asp?lang=en&amp;parent=D10-SG02-C-0326" TargetMode="Externa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hyperlink" Target="http://www.itu.int/md/D10-RES9-INF-0003/en" TargetMode="External"/><Relationship Id="rId2" Type="http://schemas.openxmlformats.org/officeDocument/2006/relationships/numbering" Target="numbering.xml"/><Relationship Id="rId29" Type="http://schemas.openxmlformats.org/officeDocument/2006/relationships/image" Target="media/image9.wmf"/><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image" Target="media/image17.wmf"/><Relationship Id="rId66" Type="http://schemas.openxmlformats.org/officeDocument/2006/relationships/oleObject" Target="embeddings/oleObject23.bin"/><Relationship Id="rId87" Type="http://schemas.openxmlformats.org/officeDocument/2006/relationships/hyperlink" Target="http://www.itu.int/md/D10-RES9-C-0005/en" TargetMode="External"/><Relationship Id="rId110" Type="http://schemas.openxmlformats.org/officeDocument/2006/relationships/hyperlink" Target="http://www.itu.int/md/meetingdoc.asp?lang=en&amp;parent=D10-RES9-120921-C&amp;source=Radiocommunication%20Bureau" TargetMode="External"/><Relationship Id="rId115" Type="http://schemas.openxmlformats.org/officeDocument/2006/relationships/hyperlink" Target="http://www.itu.int/md/meetingdoc.asp?lang=en&amp;parent=D10-RES9-130613-C&amp;source=ITU-D%20Co-Chairman,%20Joint%20Group%20on%20Resolution%209" TargetMode="External"/><Relationship Id="rId131" Type="http://schemas.openxmlformats.org/officeDocument/2006/relationships/hyperlink" Target="http://www.itu.int/md/meetingdoc.asp?lang=en&amp;parent=D10-SG02-R-0042" TargetMode="External"/><Relationship Id="rId136" Type="http://schemas.openxmlformats.org/officeDocument/2006/relationships/fontTable" Target="fontTable.xml"/><Relationship Id="rId61" Type="http://schemas.openxmlformats.org/officeDocument/2006/relationships/image" Target="media/image25.wmf"/><Relationship Id="rId82" Type="http://schemas.openxmlformats.org/officeDocument/2006/relationships/hyperlink" Target="http://www.itu.int/md/meetingdoc.asp?lang=en&amp;parent=D10-RES9-110606-C&amp;source=ITU-D%20Co-Chairman,%20Joint%20Group%20on%20Resolution%209" TargetMode="External"/><Relationship Id="rId19" Type="http://schemas.openxmlformats.org/officeDocument/2006/relationships/image" Target="media/image4.w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D14F53-F2B6-4C31-BAA6-D37F518B47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42</Pages>
  <Words>13864</Words>
  <Characters>78995</Characters>
  <Application>Microsoft Office Word</Application>
  <DocSecurity>0</DocSecurity>
  <Lines>658</Lines>
  <Paragraphs>185</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Question</vt:lpstr>
      <vt:lpstr>HIPCAR Model Policy Guidelines and Legislative Text: Access to Public Information (Freedom of Information)</vt:lpstr>
    </vt:vector>
  </TitlesOfParts>
  <Company>ITU</Company>
  <LinksUpToDate>false</LinksUpToDate>
  <CharactersWithSpaces>92674</CharactersWithSpaces>
  <SharedDoc>false</SharedDoc>
  <HLinks>
    <vt:vector size="84" baseType="variant">
      <vt:variant>
        <vt:i4>1048635</vt:i4>
      </vt:variant>
      <vt:variant>
        <vt:i4>77</vt:i4>
      </vt:variant>
      <vt:variant>
        <vt:i4>0</vt:i4>
      </vt:variant>
      <vt:variant>
        <vt:i4>5</vt:i4>
      </vt:variant>
      <vt:variant>
        <vt:lpwstr/>
      </vt:variant>
      <vt:variant>
        <vt:lpwstr>_Toc375046965</vt:lpwstr>
      </vt:variant>
      <vt:variant>
        <vt:i4>1048635</vt:i4>
      </vt:variant>
      <vt:variant>
        <vt:i4>71</vt:i4>
      </vt:variant>
      <vt:variant>
        <vt:i4>0</vt:i4>
      </vt:variant>
      <vt:variant>
        <vt:i4>5</vt:i4>
      </vt:variant>
      <vt:variant>
        <vt:lpwstr/>
      </vt:variant>
      <vt:variant>
        <vt:lpwstr>_Toc375046964</vt:lpwstr>
      </vt:variant>
      <vt:variant>
        <vt:i4>1048635</vt:i4>
      </vt:variant>
      <vt:variant>
        <vt:i4>65</vt:i4>
      </vt:variant>
      <vt:variant>
        <vt:i4>0</vt:i4>
      </vt:variant>
      <vt:variant>
        <vt:i4>5</vt:i4>
      </vt:variant>
      <vt:variant>
        <vt:lpwstr/>
      </vt:variant>
      <vt:variant>
        <vt:lpwstr>_Toc375046963</vt:lpwstr>
      </vt:variant>
      <vt:variant>
        <vt:i4>1048635</vt:i4>
      </vt:variant>
      <vt:variant>
        <vt:i4>59</vt:i4>
      </vt:variant>
      <vt:variant>
        <vt:i4>0</vt:i4>
      </vt:variant>
      <vt:variant>
        <vt:i4>5</vt:i4>
      </vt:variant>
      <vt:variant>
        <vt:lpwstr/>
      </vt:variant>
      <vt:variant>
        <vt:lpwstr>_Toc375046962</vt:lpwstr>
      </vt:variant>
      <vt:variant>
        <vt:i4>1048635</vt:i4>
      </vt:variant>
      <vt:variant>
        <vt:i4>53</vt:i4>
      </vt:variant>
      <vt:variant>
        <vt:i4>0</vt:i4>
      </vt:variant>
      <vt:variant>
        <vt:i4>5</vt:i4>
      </vt:variant>
      <vt:variant>
        <vt:lpwstr/>
      </vt:variant>
      <vt:variant>
        <vt:lpwstr>_Toc375046961</vt:lpwstr>
      </vt:variant>
      <vt:variant>
        <vt:i4>1048635</vt:i4>
      </vt:variant>
      <vt:variant>
        <vt:i4>47</vt:i4>
      </vt:variant>
      <vt:variant>
        <vt:i4>0</vt:i4>
      </vt:variant>
      <vt:variant>
        <vt:i4>5</vt:i4>
      </vt:variant>
      <vt:variant>
        <vt:lpwstr/>
      </vt:variant>
      <vt:variant>
        <vt:lpwstr>_Toc375046960</vt:lpwstr>
      </vt:variant>
      <vt:variant>
        <vt:i4>1245243</vt:i4>
      </vt:variant>
      <vt:variant>
        <vt:i4>41</vt:i4>
      </vt:variant>
      <vt:variant>
        <vt:i4>0</vt:i4>
      </vt:variant>
      <vt:variant>
        <vt:i4>5</vt:i4>
      </vt:variant>
      <vt:variant>
        <vt:lpwstr/>
      </vt:variant>
      <vt:variant>
        <vt:lpwstr>_Toc375046959</vt:lpwstr>
      </vt:variant>
      <vt:variant>
        <vt:i4>1245243</vt:i4>
      </vt:variant>
      <vt:variant>
        <vt:i4>35</vt:i4>
      </vt:variant>
      <vt:variant>
        <vt:i4>0</vt:i4>
      </vt:variant>
      <vt:variant>
        <vt:i4>5</vt:i4>
      </vt:variant>
      <vt:variant>
        <vt:lpwstr/>
      </vt:variant>
      <vt:variant>
        <vt:lpwstr>_Toc375046958</vt:lpwstr>
      </vt:variant>
      <vt:variant>
        <vt:i4>1245243</vt:i4>
      </vt:variant>
      <vt:variant>
        <vt:i4>29</vt:i4>
      </vt:variant>
      <vt:variant>
        <vt:i4>0</vt:i4>
      </vt:variant>
      <vt:variant>
        <vt:i4>5</vt:i4>
      </vt:variant>
      <vt:variant>
        <vt:lpwstr/>
      </vt:variant>
      <vt:variant>
        <vt:lpwstr>_Toc375046957</vt:lpwstr>
      </vt:variant>
      <vt:variant>
        <vt:i4>1245243</vt:i4>
      </vt:variant>
      <vt:variant>
        <vt:i4>23</vt:i4>
      </vt:variant>
      <vt:variant>
        <vt:i4>0</vt:i4>
      </vt:variant>
      <vt:variant>
        <vt:i4>5</vt:i4>
      </vt:variant>
      <vt:variant>
        <vt:lpwstr/>
      </vt:variant>
      <vt:variant>
        <vt:lpwstr>_Toc375046956</vt:lpwstr>
      </vt:variant>
      <vt:variant>
        <vt:i4>1245243</vt:i4>
      </vt:variant>
      <vt:variant>
        <vt:i4>17</vt:i4>
      </vt:variant>
      <vt:variant>
        <vt:i4>0</vt:i4>
      </vt:variant>
      <vt:variant>
        <vt:i4>5</vt:i4>
      </vt:variant>
      <vt:variant>
        <vt:lpwstr/>
      </vt:variant>
      <vt:variant>
        <vt:lpwstr>_Toc375046955</vt:lpwstr>
      </vt:variant>
      <vt:variant>
        <vt:i4>1245243</vt:i4>
      </vt:variant>
      <vt:variant>
        <vt:i4>11</vt:i4>
      </vt:variant>
      <vt:variant>
        <vt:i4>0</vt:i4>
      </vt:variant>
      <vt:variant>
        <vt:i4>5</vt:i4>
      </vt:variant>
      <vt:variant>
        <vt:lpwstr/>
      </vt:variant>
      <vt:variant>
        <vt:lpwstr>_Toc375046954</vt:lpwstr>
      </vt:variant>
      <vt:variant>
        <vt:i4>1245243</vt:i4>
      </vt:variant>
      <vt:variant>
        <vt:i4>5</vt:i4>
      </vt:variant>
      <vt:variant>
        <vt:i4>0</vt:i4>
      </vt:variant>
      <vt:variant>
        <vt:i4>5</vt:i4>
      </vt:variant>
      <vt:variant>
        <vt:lpwstr/>
      </vt:variant>
      <vt:variant>
        <vt:lpwstr>_Toc375046953</vt:lpwstr>
      </vt:variant>
      <vt:variant>
        <vt:i4>1245243</vt:i4>
      </vt:variant>
      <vt:variant>
        <vt:i4>2</vt:i4>
      </vt:variant>
      <vt:variant>
        <vt:i4>0</vt:i4>
      </vt:variant>
      <vt:variant>
        <vt:i4>5</vt:i4>
      </vt:variant>
      <vt:variant>
        <vt:lpwstr/>
      </vt:variant>
      <vt:variant>
        <vt:lpwstr>_Toc375046952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Question</dc:title>
  <dc:subject>ITU/EU-funded HIPCAR project</dc:subject>
  <dc:creator>Al-Yammouni, Hala</dc:creator>
  <cp:lastModifiedBy>Al-Yammouni, Hala</cp:lastModifiedBy>
  <cp:revision>3</cp:revision>
  <cp:lastPrinted>2014-02-06T10:40:00Z</cp:lastPrinted>
  <dcterms:created xsi:type="dcterms:W3CDTF">2014-02-25T11:18:00Z</dcterms:created>
  <dcterms:modified xsi:type="dcterms:W3CDTF">2014-03-11T14:38:00Z</dcterms:modified>
</cp:coreProperties>
</file>